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595A" w14:textId="77777777" w:rsidR="009B64AA" w:rsidRDefault="009B64AA"/>
    <w:p w14:paraId="2A49A205" w14:textId="77777777" w:rsidR="009B64AA" w:rsidRPr="001732BB" w:rsidRDefault="009B64AA" w:rsidP="009B64AA">
      <w:pPr>
        <w:pBdr>
          <w:bottom w:val="single" w:sz="4" w:space="1" w:color="auto"/>
        </w:pBdr>
        <w:jc w:val="center"/>
        <w:rPr>
          <w:rFonts w:ascii="Arial" w:hAnsi="Arial" w:cs="Arial"/>
          <w:b/>
          <w:szCs w:val="32"/>
        </w:rPr>
      </w:pPr>
      <w:r w:rsidRPr="001732BB">
        <w:rPr>
          <w:rFonts w:ascii="Arial" w:hAnsi="Arial" w:cs="Arial"/>
          <w:b/>
          <w:szCs w:val="32"/>
        </w:rPr>
        <w:t>FINANCIAL ACCOUNTING</w:t>
      </w:r>
    </w:p>
    <w:p w14:paraId="65D968DD" w14:textId="77777777" w:rsidR="009B64AA" w:rsidRPr="001732BB" w:rsidRDefault="009B64AA" w:rsidP="009B64AA">
      <w:pPr>
        <w:rPr>
          <w:rFonts w:ascii="Arial" w:hAnsi="Arial" w:cs="Arial"/>
          <w:b/>
        </w:rPr>
      </w:pPr>
    </w:p>
    <w:p w14:paraId="6098D853" w14:textId="77777777" w:rsidR="009B64AA" w:rsidRPr="00BA7C55" w:rsidRDefault="009B64AA" w:rsidP="009B64AA">
      <w:pPr>
        <w:rPr>
          <w:rFonts w:ascii="Arial" w:hAnsi="Arial" w:cs="Arial"/>
        </w:rPr>
      </w:pPr>
      <w:r w:rsidRPr="001732BB">
        <w:rPr>
          <w:rStyle w:val="Heading1Char"/>
          <w:rFonts w:eastAsia="Calibri"/>
        </w:rPr>
        <w:t xml:space="preserve">Topic </w:t>
      </w:r>
      <w:r w:rsidR="00F41052">
        <w:rPr>
          <w:rStyle w:val="Heading1Char"/>
          <w:rFonts w:eastAsia="Calibri"/>
        </w:rPr>
        <w:t>6</w:t>
      </w:r>
      <w:r w:rsidRPr="00BA7C55">
        <w:rPr>
          <w:rStyle w:val="Heading1Char"/>
          <w:rFonts w:eastAsia="Calibri"/>
          <w:b w:val="0"/>
        </w:rPr>
        <w:t>:</w:t>
      </w:r>
      <w:r w:rsidRPr="00BA7C55">
        <w:rPr>
          <w:rFonts w:ascii="Arial" w:hAnsi="Arial" w:cs="Arial"/>
        </w:rPr>
        <w:t xml:space="preserve">   </w:t>
      </w:r>
      <w:r w:rsidR="00F41052">
        <w:rPr>
          <w:rFonts w:ascii="Arial" w:hAnsi="Arial" w:cs="Arial"/>
        </w:rPr>
        <w:t>Measurement Concepts</w:t>
      </w:r>
    </w:p>
    <w:p w14:paraId="62AFD386" w14:textId="77777777" w:rsidR="009B64AA" w:rsidRPr="00BA7C55" w:rsidRDefault="009B64AA" w:rsidP="009B64AA">
      <w:pPr>
        <w:rPr>
          <w:rFonts w:ascii="Arial" w:hAnsi="Arial" w:cs="Arial"/>
        </w:rPr>
      </w:pPr>
    </w:p>
    <w:p w14:paraId="0E52A0B0" w14:textId="77777777" w:rsidR="009B64AA" w:rsidRDefault="009B64AA" w:rsidP="009B64AA">
      <w:pPr>
        <w:rPr>
          <w:rFonts w:ascii="Arial" w:hAnsi="Arial" w:cs="Arial"/>
        </w:rPr>
      </w:pPr>
      <w:r w:rsidRPr="00BA7C55">
        <w:rPr>
          <w:rFonts w:ascii="Arial" w:hAnsi="Arial" w:cs="Arial"/>
        </w:rPr>
        <w:t xml:space="preserve">Reference: </w:t>
      </w:r>
      <w:r w:rsidR="00F41052">
        <w:rPr>
          <w:rFonts w:ascii="Arial" w:hAnsi="Arial" w:cs="Arial"/>
        </w:rPr>
        <w:t>Stice, James D., Stice, Earl K., and Skousen, K. Fred (2007).  Intermediate Accounting (1</w:t>
      </w:r>
      <w:r w:rsidR="00704876">
        <w:rPr>
          <w:rFonts w:ascii="Arial" w:hAnsi="Arial" w:cs="Arial"/>
        </w:rPr>
        <w:t>6</w:t>
      </w:r>
      <w:r w:rsidR="00F41052">
        <w:rPr>
          <w:rFonts w:ascii="Arial" w:hAnsi="Arial" w:cs="Arial"/>
        </w:rPr>
        <w:t xml:space="preserve">th ed.).  Mason, OH:  South-Western Cengage Learning.  </w:t>
      </w:r>
      <w:r w:rsidRPr="00BA7C55">
        <w:rPr>
          <w:rFonts w:ascii="Arial" w:hAnsi="Arial" w:cs="Arial"/>
        </w:rPr>
        <w:t>Used with permission from the publisher.</w:t>
      </w:r>
    </w:p>
    <w:p w14:paraId="12EB2DB9" w14:textId="77777777" w:rsidR="00704876" w:rsidRPr="00BA7C55" w:rsidRDefault="00704876" w:rsidP="009B64AA">
      <w:pPr>
        <w:rPr>
          <w:rFonts w:ascii="Arial" w:hAnsi="Arial" w:cs="Arial"/>
        </w:rPr>
      </w:pPr>
    </w:p>
    <w:p w14:paraId="6345C502" w14:textId="77777777" w:rsidR="009B64AA" w:rsidRDefault="009B64AA" w:rsidP="009B64AA">
      <w:pPr>
        <w:rPr>
          <w:rFonts w:ascii="Arial" w:hAnsi="Arial"/>
        </w:rPr>
      </w:pPr>
    </w:p>
    <w:p w14:paraId="06A3BD6A" w14:textId="77777777" w:rsidR="009B64AA" w:rsidRDefault="00F41052" w:rsidP="00154693">
      <w:pPr>
        <w:rPr>
          <w:rFonts w:ascii="Arial" w:hAnsi="Arial"/>
        </w:rPr>
      </w:pPr>
      <w:r>
        <w:rPr>
          <w:rFonts w:ascii="Arial" w:hAnsi="Arial"/>
        </w:rPr>
        <w:t>Five different measurement concepts are currently used in accounting</w:t>
      </w:r>
      <w:r w:rsidR="00704876">
        <w:rPr>
          <w:rFonts w:ascii="Arial" w:hAnsi="Arial"/>
        </w:rPr>
        <w:t>:</w:t>
      </w:r>
    </w:p>
    <w:p w14:paraId="52A63D42" w14:textId="77777777" w:rsidR="00F41052" w:rsidRDefault="00F41052" w:rsidP="00154693">
      <w:pPr>
        <w:rPr>
          <w:rFonts w:ascii="Arial" w:hAnsi="Arial"/>
        </w:rPr>
      </w:pPr>
    </w:p>
    <w:p w14:paraId="4E88FE31" w14:textId="77777777" w:rsidR="00F41052" w:rsidRPr="00704876" w:rsidRDefault="00F41052" w:rsidP="00154693">
      <w:pPr>
        <w:rPr>
          <w:rFonts w:ascii="Arial" w:hAnsi="Arial"/>
          <w:b/>
        </w:rPr>
      </w:pPr>
      <w:r w:rsidRPr="00704876">
        <w:rPr>
          <w:rFonts w:ascii="Arial" w:hAnsi="Arial"/>
          <w:b/>
        </w:rPr>
        <w:t>Historical Cost</w:t>
      </w:r>
    </w:p>
    <w:p w14:paraId="788C893F" w14:textId="77777777" w:rsidR="00F41052" w:rsidRDefault="00F41052" w:rsidP="00154693">
      <w:pPr>
        <w:rPr>
          <w:rFonts w:ascii="Arial" w:hAnsi="Arial"/>
        </w:rPr>
      </w:pPr>
    </w:p>
    <w:p w14:paraId="427A21DC" w14:textId="77777777" w:rsidR="00F41052" w:rsidRDefault="00F41052" w:rsidP="00154693">
      <w:pPr>
        <w:rPr>
          <w:rFonts w:ascii="Arial" w:hAnsi="Arial"/>
        </w:rPr>
      </w:pPr>
      <w:r>
        <w:rPr>
          <w:rFonts w:ascii="Arial" w:hAnsi="Arial"/>
        </w:rPr>
        <w:t>This is the cash equivalent price exchanged for goods or services at the date of acquisition.  Examples of items measured at historical cost:  land, buildings, equipment, and most inventory.</w:t>
      </w:r>
    </w:p>
    <w:p w14:paraId="6271C505" w14:textId="77777777" w:rsidR="00F41052" w:rsidRDefault="00F41052" w:rsidP="00154693">
      <w:pPr>
        <w:rPr>
          <w:rFonts w:ascii="Arial" w:hAnsi="Arial"/>
        </w:rPr>
      </w:pPr>
    </w:p>
    <w:p w14:paraId="41A03153" w14:textId="77777777" w:rsidR="00F41052" w:rsidRPr="00704876" w:rsidRDefault="00F41052" w:rsidP="00154693">
      <w:pPr>
        <w:rPr>
          <w:rFonts w:ascii="Arial" w:hAnsi="Arial"/>
          <w:b/>
        </w:rPr>
      </w:pPr>
      <w:r w:rsidRPr="00704876">
        <w:rPr>
          <w:rFonts w:ascii="Arial" w:hAnsi="Arial"/>
          <w:b/>
        </w:rPr>
        <w:t>Current Replacement Cost</w:t>
      </w:r>
    </w:p>
    <w:p w14:paraId="39911532" w14:textId="77777777" w:rsidR="00F41052" w:rsidRDefault="00F41052" w:rsidP="00154693">
      <w:pPr>
        <w:rPr>
          <w:rFonts w:ascii="Arial" w:hAnsi="Arial"/>
        </w:rPr>
      </w:pPr>
    </w:p>
    <w:p w14:paraId="0DE6E30D" w14:textId="77777777" w:rsidR="00F41052" w:rsidRDefault="00F41052" w:rsidP="00154693">
      <w:pPr>
        <w:rPr>
          <w:rFonts w:ascii="Arial" w:hAnsi="Arial"/>
        </w:rPr>
      </w:pPr>
      <w:r>
        <w:rPr>
          <w:rFonts w:ascii="Arial" w:hAnsi="Arial"/>
        </w:rPr>
        <w:t xml:space="preserve">This is the cash equivalent price that would be exchanged currently to purchase or replace equivalent </w:t>
      </w:r>
      <w:r w:rsidR="00A16275">
        <w:rPr>
          <w:rFonts w:ascii="Arial" w:hAnsi="Arial"/>
        </w:rPr>
        <w:t xml:space="preserve">goods or services.  Examples of items include some current inventories that have decline in value since acquisition.  </w:t>
      </w:r>
    </w:p>
    <w:p w14:paraId="6DA132ED" w14:textId="77777777" w:rsidR="00A16275" w:rsidRDefault="00A16275" w:rsidP="00154693">
      <w:pPr>
        <w:rPr>
          <w:rFonts w:ascii="Arial" w:hAnsi="Arial"/>
        </w:rPr>
      </w:pPr>
    </w:p>
    <w:p w14:paraId="5C2B99B1" w14:textId="77777777" w:rsidR="00A16275" w:rsidRPr="00704876" w:rsidRDefault="00A16275" w:rsidP="00154693">
      <w:pPr>
        <w:rPr>
          <w:rFonts w:ascii="Arial" w:hAnsi="Arial"/>
          <w:b/>
        </w:rPr>
      </w:pPr>
      <w:r w:rsidRPr="00704876">
        <w:rPr>
          <w:rFonts w:ascii="Arial" w:hAnsi="Arial"/>
          <w:b/>
        </w:rPr>
        <w:t>Current Market Value</w:t>
      </w:r>
    </w:p>
    <w:p w14:paraId="0FB41536" w14:textId="77777777" w:rsidR="00A16275" w:rsidRDefault="00A16275" w:rsidP="00154693">
      <w:pPr>
        <w:rPr>
          <w:rFonts w:ascii="Arial" w:hAnsi="Arial"/>
        </w:rPr>
      </w:pPr>
    </w:p>
    <w:p w14:paraId="0A9E8067" w14:textId="77777777" w:rsidR="00A16275" w:rsidRDefault="00A16275" w:rsidP="00154693">
      <w:pPr>
        <w:rPr>
          <w:rFonts w:ascii="Arial" w:hAnsi="Arial"/>
        </w:rPr>
      </w:pPr>
      <w:r>
        <w:rPr>
          <w:rFonts w:ascii="Arial" w:hAnsi="Arial"/>
        </w:rPr>
        <w:t>This is the cash equivalent price that could be obtained by selling an asset in an orderly liquidation liquidation.  Examples of items include many financial instruments – stocks and bonds.  This is sometimes referred to as “mark to market.”</w:t>
      </w:r>
    </w:p>
    <w:p w14:paraId="7DB0A357" w14:textId="77777777" w:rsidR="00A16275" w:rsidRDefault="00A16275" w:rsidP="00154693">
      <w:pPr>
        <w:rPr>
          <w:rFonts w:ascii="Arial" w:hAnsi="Arial"/>
        </w:rPr>
      </w:pPr>
    </w:p>
    <w:p w14:paraId="7C773C15" w14:textId="77777777" w:rsidR="00A16275" w:rsidRPr="00704876" w:rsidRDefault="00A16275" w:rsidP="00154693">
      <w:pPr>
        <w:rPr>
          <w:rFonts w:ascii="Arial" w:hAnsi="Arial"/>
          <w:b/>
        </w:rPr>
      </w:pPr>
      <w:r w:rsidRPr="00704876">
        <w:rPr>
          <w:rFonts w:ascii="Arial" w:hAnsi="Arial"/>
          <w:b/>
        </w:rPr>
        <w:t>Net Realizable Value</w:t>
      </w:r>
    </w:p>
    <w:p w14:paraId="0548FF06" w14:textId="77777777" w:rsidR="00A16275" w:rsidRDefault="00A16275" w:rsidP="00154693">
      <w:pPr>
        <w:rPr>
          <w:rFonts w:ascii="Arial" w:hAnsi="Arial"/>
        </w:rPr>
      </w:pPr>
    </w:p>
    <w:p w14:paraId="5C6C335D" w14:textId="77777777" w:rsidR="00A16275" w:rsidRDefault="00A16275" w:rsidP="00154693">
      <w:pPr>
        <w:rPr>
          <w:rFonts w:ascii="Arial" w:hAnsi="Arial"/>
        </w:rPr>
      </w:pPr>
      <w:r>
        <w:rPr>
          <w:rFonts w:ascii="Arial" w:hAnsi="Arial"/>
        </w:rPr>
        <w:t>This is the amount of cash expected to be received from the conversion of assets in the normal course of business.  An example includes accounts receivable.</w:t>
      </w:r>
      <w:r w:rsidR="00704876">
        <w:rPr>
          <w:rFonts w:ascii="Arial" w:hAnsi="Arial"/>
        </w:rPr>
        <w:t xml:space="preserve">  On the balance sheet accounts receivable are shown at gross amount billed less an estimated allowance for doubtful accounts.  The result is expected net realizable value.</w:t>
      </w:r>
    </w:p>
    <w:p w14:paraId="3DFB5ABD" w14:textId="77777777" w:rsidR="00A16275" w:rsidRDefault="00A16275" w:rsidP="00154693">
      <w:pPr>
        <w:rPr>
          <w:rFonts w:ascii="Arial" w:hAnsi="Arial"/>
        </w:rPr>
      </w:pPr>
    </w:p>
    <w:p w14:paraId="6ED4EA56" w14:textId="77777777" w:rsidR="00A16275" w:rsidRPr="00704876" w:rsidRDefault="00A16275" w:rsidP="00154693">
      <w:pPr>
        <w:rPr>
          <w:rFonts w:ascii="Arial" w:hAnsi="Arial"/>
          <w:b/>
        </w:rPr>
      </w:pPr>
      <w:r w:rsidRPr="00704876">
        <w:rPr>
          <w:rFonts w:ascii="Arial" w:hAnsi="Arial"/>
          <w:b/>
        </w:rPr>
        <w:t>Present (or Discounted) Value</w:t>
      </w:r>
    </w:p>
    <w:p w14:paraId="792ED1BC" w14:textId="77777777" w:rsidR="00A16275" w:rsidRDefault="00A16275" w:rsidP="00154693">
      <w:pPr>
        <w:rPr>
          <w:rFonts w:ascii="Arial" w:hAnsi="Arial"/>
        </w:rPr>
      </w:pPr>
    </w:p>
    <w:p w14:paraId="14311A1A" w14:textId="77777777" w:rsidR="00A16275" w:rsidRDefault="00A16275" w:rsidP="00154693">
      <w:pPr>
        <w:rPr>
          <w:rFonts w:ascii="Arial" w:hAnsi="Arial"/>
        </w:rPr>
      </w:pPr>
      <w:r>
        <w:rPr>
          <w:rFonts w:ascii="Arial" w:hAnsi="Arial"/>
        </w:rPr>
        <w:t>This is the amount of net future cash inflows or out-flows discounted to their present value at an appropriate rate of interest.  Examples of items include long-term receivables, long term payables, and long-term operating assets determined to have suffered a permanent impairment in value.</w:t>
      </w:r>
    </w:p>
    <w:p w14:paraId="3AC31436" w14:textId="77777777" w:rsidR="00A16275" w:rsidRDefault="00A16275" w:rsidP="00154693">
      <w:pPr>
        <w:rPr>
          <w:rFonts w:ascii="Arial" w:hAnsi="Arial"/>
        </w:rPr>
      </w:pPr>
    </w:p>
    <w:p w14:paraId="68EB415E" w14:textId="77777777" w:rsidR="00A16275" w:rsidRDefault="00A16275" w:rsidP="00154693">
      <w:pPr>
        <w:rPr>
          <w:rFonts w:ascii="Arial" w:hAnsi="Arial"/>
        </w:rPr>
      </w:pPr>
      <w:r>
        <w:rPr>
          <w:rFonts w:ascii="Arial" w:hAnsi="Arial"/>
        </w:rPr>
        <w:lastRenderedPageBreak/>
        <w:t>On the date an asset is acquired, all five of these measure attributes have approximately the same value.  The differences arise as the asset ages, business conditions change, and the original acquisition price becomes a less relevant measure of future economic benefits.</w:t>
      </w:r>
    </w:p>
    <w:p w14:paraId="2437A69D" w14:textId="77777777" w:rsidR="00A16275" w:rsidRDefault="00A16275" w:rsidP="00154693">
      <w:pPr>
        <w:rPr>
          <w:rFonts w:ascii="Arial" w:hAnsi="Arial"/>
        </w:rPr>
      </w:pPr>
    </w:p>
    <w:p w14:paraId="05FFAB5B" w14:textId="77777777" w:rsidR="00A16275" w:rsidRDefault="00A16275" w:rsidP="00154693">
      <w:pPr>
        <w:rPr>
          <w:rFonts w:ascii="Arial" w:hAnsi="Arial"/>
        </w:rPr>
      </w:pPr>
      <w:r>
        <w:rPr>
          <w:rFonts w:ascii="Arial" w:hAnsi="Arial"/>
        </w:rPr>
        <w:t xml:space="preserve">Current accounting practice in the United States is said to be based on historical costs, although, as discussed above, each of the five measurement attributes is used.  Still, historical cost is the dominant measure and is used because of its high reliability/objectivity.  Many users </w:t>
      </w:r>
      <w:r w:rsidR="00777510">
        <w:rPr>
          <w:rFonts w:ascii="Arial" w:hAnsi="Arial"/>
        </w:rPr>
        <w:t xml:space="preserve">believe that current replacement costs or market values, though less reliable, are more relevant than historical costs for future-oriented decisions.  </w:t>
      </w:r>
      <w:r w:rsidR="00704876">
        <w:rPr>
          <w:rFonts w:ascii="Arial" w:hAnsi="Arial"/>
        </w:rPr>
        <w:t xml:space="preserve">This is a classic trade-off between relevance and reliability.  </w:t>
      </w:r>
      <w:r>
        <w:rPr>
          <w:rFonts w:ascii="Arial" w:hAnsi="Arial"/>
        </w:rPr>
        <w:t xml:space="preserve">   </w:t>
      </w:r>
    </w:p>
    <w:p w14:paraId="3C5D7F20" w14:textId="77777777" w:rsidR="00A16275" w:rsidRDefault="00A16275" w:rsidP="00154693">
      <w:pPr>
        <w:rPr>
          <w:rFonts w:ascii="Arial" w:hAnsi="Arial"/>
        </w:rPr>
      </w:pPr>
    </w:p>
    <w:p w14:paraId="69E2C9E3" w14:textId="77777777" w:rsidR="00A16275" w:rsidRPr="009B64AA" w:rsidRDefault="00A16275" w:rsidP="00154693">
      <w:pPr>
        <w:rPr>
          <w:rFonts w:ascii="Arial" w:hAnsi="Arial"/>
        </w:rPr>
      </w:pPr>
      <w:r>
        <w:rPr>
          <w:rFonts w:ascii="Arial" w:hAnsi="Arial"/>
        </w:rPr>
        <w:t xml:space="preserve"> </w:t>
      </w:r>
    </w:p>
    <w:sectPr w:rsidR="00A16275" w:rsidRPr="009B64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93"/>
    <w:rsid w:val="00114B6E"/>
    <w:rsid w:val="00154693"/>
    <w:rsid w:val="00392D32"/>
    <w:rsid w:val="00404FDD"/>
    <w:rsid w:val="006E2108"/>
    <w:rsid w:val="00704876"/>
    <w:rsid w:val="00777510"/>
    <w:rsid w:val="009B64AA"/>
    <w:rsid w:val="00A16275"/>
    <w:rsid w:val="00B421B6"/>
    <w:rsid w:val="00C608CA"/>
    <w:rsid w:val="00F4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E6A93A"/>
  <w15:chartTrackingRefBased/>
  <w15:docId w15:val="{052EB4A9-F025-2A49-B8E2-222B92C9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B64AA"/>
    <w:pPr>
      <w:keepNext/>
      <w:spacing w:before="240" w:after="60"/>
      <w:outlineLvl w:val="0"/>
    </w:pPr>
    <w:rPr>
      <w:rFonts w:ascii="Arial" w:hAnsi="Arial"/>
      <w:b/>
      <w:bCs/>
      <w:kern w:val="32"/>
      <w:sz w:val="28"/>
      <w:szCs w:val="3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ect1-title">
    <w:name w:val="sect1-title"/>
    <w:basedOn w:val="DefaultParagraphFont"/>
    <w:rsid w:val="00154693"/>
  </w:style>
  <w:style w:type="character" w:customStyle="1" w:styleId="margintext-type">
    <w:name w:val="margintext-type"/>
    <w:basedOn w:val="DefaultParagraphFont"/>
    <w:rsid w:val="00154693"/>
  </w:style>
  <w:style w:type="character" w:styleId="Hyperlink">
    <w:name w:val="Hyperlink"/>
    <w:basedOn w:val="DefaultParagraphFont"/>
    <w:rsid w:val="00154693"/>
    <w:rPr>
      <w:color w:val="0000FF"/>
      <w:u w:val="single"/>
    </w:rPr>
  </w:style>
  <w:style w:type="character" w:customStyle="1" w:styleId="altterm-b">
    <w:name w:val="altterm-b"/>
    <w:basedOn w:val="DefaultParagraphFont"/>
    <w:rsid w:val="00154693"/>
  </w:style>
  <w:style w:type="character" w:customStyle="1" w:styleId="company">
    <w:name w:val="company"/>
    <w:basedOn w:val="DefaultParagraphFont"/>
    <w:rsid w:val="00154693"/>
  </w:style>
  <w:style w:type="character" w:customStyle="1" w:styleId="figure-number">
    <w:name w:val="figure-number"/>
    <w:basedOn w:val="DefaultParagraphFont"/>
    <w:rsid w:val="00154693"/>
  </w:style>
  <w:style w:type="character" w:customStyle="1" w:styleId="Heading1Char">
    <w:name w:val="Heading 1 Char"/>
    <w:basedOn w:val="DefaultParagraphFont"/>
    <w:link w:val="Heading1"/>
    <w:rsid w:val="009B64AA"/>
    <w:rPr>
      <w:rFonts w:ascii="Arial" w:hAnsi="Arial"/>
      <w:b/>
      <w:bCs/>
      <w:kern w:val="32"/>
      <w:sz w:val="28"/>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3553">
      <w:bodyDiv w:val="1"/>
      <w:marLeft w:val="0"/>
      <w:marRight w:val="0"/>
      <w:marTop w:val="0"/>
      <w:marBottom w:val="0"/>
      <w:divBdr>
        <w:top w:val="none" w:sz="0" w:space="0" w:color="auto"/>
        <w:left w:val="none" w:sz="0" w:space="0" w:color="auto"/>
        <w:bottom w:val="none" w:sz="0" w:space="0" w:color="auto"/>
        <w:right w:val="none" w:sz="0" w:space="0" w:color="auto"/>
      </w:divBdr>
      <w:divsChild>
        <w:div w:id="487288212">
          <w:marLeft w:val="0"/>
          <w:marRight w:val="0"/>
          <w:marTop w:val="0"/>
          <w:marBottom w:val="0"/>
          <w:divBdr>
            <w:top w:val="none" w:sz="0" w:space="0" w:color="auto"/>
            <w:left w:val="none" w:sz="0" w:space="0" w:color="auto"/>
            <w:bottom w:val="none" w:sz="0" w:space="0" w:color="auto"/>
            <w:right w:val="none" w:sz="0" w:space="0" w:color="auto"/>
          </w:divBdr>
          <w:divsChild>
            <w:div w:id="1912735358">
              <w:marLeft w:val="0"/>
              <w:marRight w:val="0"/>
              <w:marTop w:val="0"/>
              <w:marBottom w:val="0"/>
              <w:divBdr>
                <w:top w:val="none" w:sz="0" w:space="0" w:color="auto"/>
                <w:left w:val="none" w:sz="0" w:space="0" w:color="auto"/>
                <w:bottom w:val="none" w:sz="0" w:space="0" w:color="auto"/>
                <w:right w:val="none" w:sz="0" w:space="0" w:color="auto"/>
              </w:divBdr>
            </w:div>
          </w:divsChild>
        </w:div>
        <w:div w:id="1461995863">
          <w:marLeft w:val="0"/>
          <w:marRight w:val="0"/>
          <w:marTop w:val="0"/>
          <w:marBottom w:val="0"/>
          <w:divBdr>
            <w:top w:val="none" w:sz="0" w:space="0" w:color="auto"/>
            <w:left w:val="none" w:sz="0" w:space="0" w:color="auto"/>
            <w:bottom w:val="none" w:sz="0" w:space="0" w:color="auto"/>
            <w:right w:val="none" w:sz="0" w:space="0" w:color="auto"/>
          </w:divBdr>
          <w:divsChild>
            <w:div w:id="249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3457">
      <w:bodyDiv w:val="1"/>
      <w:marLeft w:val="0"/>
      <w:marRight w:val="0"/>
      <w:marTop w:val="0"/>
      <w:marBottom w:val="0"/>
      <w:divBdr>
        <w:top w:val="none" w:sz="0" w:space="0" w:color="auto"/>
        <w:left w:val="none" w:sz="0" w:space="0" w:color="auto"/>
        <w:bottom w:val="none" w:sz="0" w:space="0" w:color="auto"/>
        <w:right w:val="none" w:sz="0" w:space="0" w:color="auto"/>
      </w:divBdr>
      <w:divsChild>
        <w:div w:id="130026037">
          <w:marLeft w:val="0"/>
          <w:marRight w:val="0"/>
          <w:marTop w:val="0"/>
          <w:marBottom w:val="0"/>
          <w:divBdr>
            <w:top w:val="none" w:sz="0" w:space="0" w:color="auto"/>
            <w:left w:val="none" w:sz="0" w:space="0" w:color="auto"/>
            <w:bottom w:val="none" w:sz="0" w:space="0" w:color="auto"/>
            <w:right w:val="none" w:sz="0" w:space="0" w:color="auto"/>
          </w:divBdr>
          <w:divsChild>
            <w:div w:id="882642738">
              <w:marLeft w:val="0"/>
              <w:marRight w:val="0"/>
              <w:marTop w:val="0"/>
              <w:marBottom w:val="0"/>
              <w:divBdr>
                <w:top w:val="none" w:sz="0" w:space="0" w:color="auto"/>
                <w:left w:val="none" w:sz="0" w:space="0" w:color="auto"/>
                <w:bottom w:val="none" w:sz="0" w:space="0" w:color="auto"/>
                <w:right w:val="none" w:sz="0" w:space="0" w:color="auto"/>
              </w:divBdr>
            </w:div>
          </w:divsChild>
        </w:div>
        <w:div w:id="247815469">
          <w:marLeft w:val="0"/>
          <w:marRight w:val="0"/>
          <w:marTop w:val="0"/>
          <w:marBottom w:val="0"/>
          <w:divBdr>
            <w:top w:val="none" w:sz="0" w:space="0" w:color="auto"/>
            <w:left w:val="none" w:sz="0" w:space="0" w:color="auto"/>
            <w:bottom w:val="none" w:sz="0" w:space="0" w:color="auto"/>
            <w:right w:val="none" w:sz="0" w:space="0" w:color="auto"/>
          </w:divBdr>
          <w:divsChild>
            <w:div w:id="18818484">
              <w:marLeft w:val="0"/>
              <w:marRight w:val="0"/>
              <w:marTop w:val="0"/>
              <w:marBottom w:val="0"/>
              <w:divBdr>
                <w:top w:val="none" w:sz="0" w:space="0" w:color="auto"/>
                <w:left w:val="none" w:sz="0" w:space="0" w:color="auto"/>
                <w:bottom w:val="none" w:sz="0" w:space="0" w:color="auto"/>
                <w:right w:val="none" w:sz="0" w:space="0" w:color="auto"/>
              </w:divBdr>
              <w:divsChild>
                <w:div w:id="5725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700">
          <w:marLeft w:val="0"/>
          <w:marRight w:val="0"/>
          <w:marTop w:val="0"/>
          <w:marBottom w:val="0"/>
          <w:divBdr>
            <w:top w:val="none" w:sz="0" w:space="0" w:color="auto"/>
            <w:left w:val="none" w:sz="0" w:space="0" w:color="auto"/>
            <w:bottom w:val="none" w:sz="0" w:space="0" w:color="auto"/>
            <w:right w:val="none" w:sz="0" w:space="0" w:color="auto"/>
          </w:divBdr>
          <w:divsChild>
            <w:div w:id="753666003">
              <w:marLeft w:val="0"/>
              <w:marRight w:val="0"/>
              <w:marTop w:val="0"/>
              <w:marBottom w:val="0"/>
              <w:divBdr>
                <w:top w:val="none" w:sz="0" w:space="0" w:color="auto"/>
                <w:left w:val="none" w:sz="0" w:space="0" w:color="auto"/>
                <w:bottom w:val="none" w:sz="0" w:space="0" w:color="auto"/>
                <w:right w:val="none" w:sz="0" w:space="0" w:color="auto"/>
              </w:divBdr>
            </w:div>
          </w:divsChild>
        </w:div>
        <w:div w:id="606736371">
          <w:marLeft w:val="0"/>
          <w:marRight w:val="0"/>
          <w:marTop w:val="0"/>
          <w:marBottom w:val="0"/>
          <w:divBdr>
            <w:top w:val="none" w:sz="0" w:space="0" w:color="auto"/>
            <w:left w:val="none" w:sz="0" w:space="0" w:color="auto"/>
            <w:bottom w:val="none" w:sz="0" w:space="0" w:color="auto"/>
            <w:right w:val="none" w:sz="0" w:space="0" w:color="auto"/>
          </w:divBdr>
          <w:divsChild>
            <w:div w:id="1105349935">
              <w:marLeft w:val="0"/>
              <w:marRight w:val="0"/>
              <w:marTop w:val="0"/>
              <w:marBottom w:val="0"/>
              <w:divBdr>
                <w:top w:val="none" w:sz="0" w:space="0" w:color="auto"/>
                <w:left w:val="none" w:sz="0" w:space="0" w:color="auto"/>
                <w:bottom w:val="none" w:sz="0" w:space="0" w:color="auto"/>
                <w:right w:val="none" w:sz="0" w:space="0" w:color="auto"/>
              </w:divBdr>
            </w:div>
          </w:divsChild>
        </w:div>
        <w:div w:id="655106659">
          <w:marLeft w:val="0"/>
          <w:marRight w:val="0"/>
          <w:marTop w:val="0"/>
          <w:marBottom w:val="0"/>
          <w:divBdr>
            <w:top w:val="none" w:sz="0" w:space="0" w:color="auto"/>
            <w:left w:val="none" w:sz="0" w:space="0" w:color="auto"/>
            <w:bottom w:val="none" w:sz="0" w:space="0" w:color="auto"/>
            <w:right w:val="none" w:sz="0" w:space="0" w:color="auto"/>
          </w:divBdr>
        </w:div>
        <w:div w:id="1751538272">
          <w:marLeft w:val="0"/>
          <w:marRight w:val="0"/>
          <w:marTop w:val="0"/>
          <w:marBottom w:val="0"/>
          <w:divBdr>
            <w:top w:val="none" w:sz="0" w:space="0" w:color="auto"/>
            <w:left w:val="none" w:sz="0" w:space="0" w:color="auto"/>
            <w:bottom w:val="none" w:sz="0" w:space="0" w:color="auto"/>
            <w:right w:val="none" w:sz="0" w:space="0" w:color="auto"/>
          </w:divBdr>
          <w:divsChild>
            <w:div w:id="1664049418">
              <w:marLeft w:val="0"/>
              <w:marRight w:val="0"/>
              <w:marTop w:val="0"/>
              <w:marBottom w:val="0"/>
              <w:divBdr>
                <w:top w:val="none" w:sz="0" w:space="0" w:color="auto"/>
                <w:left w:val="none" w:sz="0" w:space="0" w:color="auto"/>
                <w:bottom w:val="none" w:sz="0" w:space="0" w:color="auto"/>
                <w:right w:val="none" w:sz="0" w:space="0" w:color="auto"/>
              </w:divBdr>
            </w:div>
          </w:divsChild>
        </w:div>
        <w:div w:id="184512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Forms of Business Organization</vt:lpstr>
    </vt:vector>
  </TitlesOfParts>
  <Company>CSU, Northridge</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Business Organization</dc:title>
  <dc:subject/>
  <dc:creator>Ronald Stone</dc:creator>
  <cp:keywords/>
  <dc:description/>
  <cp:lastModifiedBy>Debora , Stephanie</cp:lastModifiedBy>
  <cp:revision>2</cp:revision>
  <cp:lastPrinted>2008-09-25T23:28:00Z</cp:lastPrinted>
  <dcterms:created xsi:type="dcterms:W3CDTF">2022-01-04T16:25:00Z</dcterms:created>
  <dcterms:modified xsi:type="dcterms:W3CDTF">2022-01-04T16:25:00Z</dcterms:modified>
</cp:coreProperties>
</file>