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bottom w:val="single" w:sz="4" w:space="0" w:color="auto"/>
        </w:tblBorders>
        <w:tblLook w:val="0000" w:firstRow="0" w:lastRow="0" w:firstColumn="0" w:lastColumn="0" w:noHBand="0" w:noVBand="0"/>
      </w:tblPr>
      <w:tblGrid>
        <w:gridCol w:w="5220"/>
        <w:gridCol w:w="5220"/>
      </w:tblGrid>
      <w:tr w:rsidR="005D39BA" w:rsidRPr="00B16AF6" w:rsidTr="00B16AF6">
        <w:trPr>
          <w:cantSplit/>
          <w:trHeight w:val="720"/>
        </w:trPr>
        <w:tc>
          <w:tcPr>
            <w:tcW w:w="5220" w:type="dxa"/>
          </w:tcPr>
          <w:p w:rsidR="005D39BA" w:rsidRDefault="005D39BA" w:rsidP="00B16AF6">
            <w:pPr>
              <w:spacing w:after="60"/>
              <w:rPr>
                <w:sz w:val="20"/>
              </w:rPr>
            </w:pPr>
            <w:r w:rsidRPr="00B16AF6">
              <w:rPr>
                <w:rFonts w:ascii="Calibri" w:eastAsia="Calibri" w:hAnsi="Calibri"/>
                <w:noProof/>
              </w:rPr>
              <w:drawing>
                <wp:inline distT="0" distB="0" distL="0" distR="0" wp14:anchorId="633C6768" wp14:editId="1F57F72C">
                  <wp:extent cx="2941320" cy="422910"/>
                  <wp:effectExtent l="0" t="0" r="0" b="0"/>
                  <wp:docPr id="1" name="Picture 1" descr="California State University, Northridge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State University, Northridge - Ho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1320" cy="422910"/>
                          </a:xfrm>
                          <a:prstGeom prst="rect">
                            <a:avLst/>
                          </a:prstGeom>
                          <a:noFill/>
                          <a:ln>
                            <a:noFill/>
                          </a:ln>
                        </pic:spPr>
                      </pic:pic>
                    </a:graphicData>
                  </a:graphic>
                </wp:inline>
              </w:drawing>
            </w:r>
          </w:p>
        </w:tc>
        <w:tc>
          <w:tcPr>
            <w:tcW w:w="5220" w:type="dxa"/>
            <w:vAlign w:val="bottom"/>
          </w:tcPr>
          <w:p w:rsidR="005D39BA" w:rsidRPr="00105F66" w:rsidRDefault="005D39BA" w:rsidP="00B16AF6">
            <w:pPr>
              <w:jc w:val="right"/>
              <w:rPr>
                <w:rStyle w:val="Memo"/>
                <w:rFonts w:asciiTheme="minorHAnsi" w:hAnsiTheme="minorHAnsi"/>
                <w:b/>
                <w:w w:val="90"/>
                <w:sz w:val="28"/>
                <w:szCs w:val="28"/>
              </w:rPr>
            </w:pPr>
            <w:r w:rsidRPr="00105F66">
              <w:rPr>
                <w:rStyle w:val="Memo"/>
                <w:rFonts w:asciiTheme="minorHAnsi" w:hAnsiTheme="minorHAnsi"/>
                <w:b/>
                <w:w w:val="90"/>
                <w:sz w:val="28"/>
                <w:szCs w:val="28"/>
              </w:rPr>
              <w:t>FACULTY POSITION OPENING</w:t>
            </w:r>
          </w:p>
          <w:p w:rsidR="005D39BA" w:rsidRPr="00B16AF6" w:rsidRDefault="009A4D43" w:rsidP="002D7C00">
            <w:pPr>
              <w:rPr>
                <w:smallCaps/>
                <w:w w:val="90"/>
                <w:sz w:val="22"/>
                <w:szCs w:val="22"/>
              </w:rPr>
            </w:pPr>
            <w:r>
              <w:rPr>
                <w:rStyle w:val="Memo"/>
                <w:b/>
                <w:w w:val="90"/>
                <w:sz w:val="28"/>
                <w:szCs w:val="28"/>
              </w:rPr>
              <w:t xml:space="preserve">    </w:t>
            </w:r>
            <w:r w:rsidR="005D39BA" w:rsidRPr="00B16AF6">
              <w:rPr>
                <w:rStyle w:val="Memo"/>
                <w:b/>
                <w:w w:val="90"/>
                <w:sz w:val="22"/>
                <w:szCs w:val="22"/>
              </w:rPr>
              <w:tab/>
            </w:r>
          </w:p>
        </w:tc>
      </w:tr>
    </w:tbl>
    <w:p w:rsidR="000A2404" w:rsidRDefault="000A2404">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b/>
          <w:sz w:val="22"/>
        </w:rPr>
      </w:pPr>
    </w:p>
    <w:p w:rsidR="000A2404" w:rsidRDefault="000A2404">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b/>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epartment, Date of Appointment, Rank, Salary Information"/>
      </w:tblPr>
      <w:tblGrid>
        <w:gridCol w:w="4951"/>
        <w:gridCol w:w="5129"/>
      </w:tblGrid>
      <w:tr w:rsidR="00326D92" w:rsidTr="00E12DA0">
        <w:trPr>
          <w:trHeight w:val="513"/>
        </w:trPr>
        <w:tc>
          <w:tcPr>
            <w:tcW w:w="5058" w:type="dxa"/>
          </w:tcPr>
          <w:p w:rsidR="00326D92" w:rsidRPr="00105F66" w:rsidRDefault="00326D92" w:rsidP="0023757A">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rPr>
                <w:rFonts w:asciiTheme="minorHAnsi" w:hAnsiTheme="minorHAnsi"/>
                <w:sz w:val="22"/>
              </w:rPr>
            </w:pPr>
            <w:r w:rsidRPr="00105F66">
              <w:rPr>
                <w:rFonts w:asciiTheme="minorHAnsi" w:hAnsiTheme="minorHAnsi"/>
                <w:b/>
                <w:sz w:val="22"/>
              </w:rPr>
              <w:t>Department:</w:t>
            </w:r>
            <w:r w:rsidR="00B34474" w:rsidRPr="00105F66">
              <w:rPr>
                <w:rFonts w:asciiTheme="minorHAnsi" w:hAnsiTheme="minorHAnsi"/>
                <w:b/>
                <w:sz w:val="22"/>
              </w:rPr>
              <w:t xml:space="preserve">   </w:t>
            </w:r>
            <w:r w:rsidR="00A24C4D" w:rsidRPr="00105F66">
              <w:rPr>
                <w:rFonts w:asciiTheme="minorHAnsi" w:hAnsiTheme="minorHAnsi"/>
                <w:sz w:val="22"/>
              </w:rPr>
              <w:t xml:space="preserve"> </w:t>
            </w:r>
          </w:p>
        </w:tc>
        <w:tc>
          <w:tcPr>
            <w:tcW w:w="5238" w:type="dxa"/>
          </w:tcPr>
          <w:p w:rsidR="00AE0BB6" w:rsidRPr="00105F66" w:rsidRDefault="00326D92" w:rsidP="00AE0BB6">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rFonts w:asciiTheme="minorHAnsi" w:hAnsiTheme="minorHAnsi"/>
                <w:sz w:val="22"/>
              </w:rPr>
            </w:pPr>
            <w:r w:rsidRPr="00105F66">
              <w:rPr>
                <w:rFonts w:asciiTheme="minorHAnsi" w:hAnsiTheme="minorHAnsi"/>
                <w:b/>
                <w:sz w:val="22"/>
              </w:rPr>
              <w:t xml:space="preserve">Effective Date of </w:t>
            </w:r>
            <w:r w:rsidR="00AE0BB6" w:rsidRPr="00105F66">
              <w:rPr>
                <w:rFonts w:asciiTheme="minorHAnsi" w:hAnsiTheme="minorHAnsi"/>
                <w:b/>
                <w:sz w:val="22"/>
              </w:rPr>
              <w:t>Appointment:</w:t>
            </w:r>
            <w:r w:rsidR="00AE0BB6" w:rsidRPr="00105F66">
              <w:rPr>
                <w:rFonts w:asciiTheme="minorHAnsi" w:hAnsiTheme="minorHAnsi"/>
                <w:sz w:val="22"/>
              </w:rPr>
              <w:t xml:space="preserve"> </w:t>
            </w:r>
          </w:p>
          <w:p w:rsidR="00326D92" w:rsidRPr="00105F66" w:rsidRDefault="00AE0BB6" w:rsidP="00AE0BB6">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rFonts w:asciiTheme="minorHAnsi" w:hAnsiTheme="minorHAnsi"/>
                <w:b/>
                <w:sz w:val="20"/>
              </w:rPr>
            </w:pPr>
            <w:r w:rsidRPr="00105F66">
              <w:rPr>
                <w:rFonts w:asciiTheme="minorHAnsi" w:hAnsiTheme="minorHAnsi"/>
                <w:sz w:val="20"/>
              </w:rPr>
              <w:t>(Subject</w:t>
            </w:r>
            <w:r w:rsidR="00326D92" w:rsidRPr="00105F66">
              <w:rPr>
                <w:rFonts w:asciiTheme="minorHAnsi" w:hAnsiTheme="minorHAnsi"/>
                <w:sz w:val="20"/>
              </w:rPr>
              <w:t xml:space="preserve"> to Budgetary Approval)</w:t>
            </w:r>
            <w:r w:rsidR="00326D92" w:rsidRPr="00105F66">
              <w:rPr>
                <w:rFonts w:asciiTheme="minorHAnsi" w:hAnsiTheme="minorHAnsi"/>
                <w:sz w:val="20"/>
              </w:rPr>
              <w:tab/>
            </w:r>
          </w:p>
        </w:tc>
      </w:tr>
      <w:tr w:rsidR="00326D92" w:rsidRPr="007277D4" w:rsidTr="00E12DA0">
        <w:trPr>
          <w:trHeight w:val="297"/>
        </w:trPr>
        <w:tc>
          <w:tcPr>
            <w:tcW w:w="5058" w:type="dxa"/>
          </w:tcPr>
          <w:p w:rsidR="005D39BA" w:rsidRPr="00105F66" w:rsidRDefault="005D39BA" w:rsidP="00E12DA0">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rFonts w:asciiTheme="minorHAnsi" w:hAnsiTheme="minorHAnsi"/>
                <w:b/>
                <w:sz w:val="22"/>
              </w:rPr>
            </w:pPr>
          </w:p>
          <w:p w:rsidR="00326D92" w:rsidRPr="00105F66" w:rsidRDefault="00AE0BB6" w:rsidP="00E12DA0">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rFonts w:asciiTheme="minorHAnsi" w:hAnsiTheme="minorHAnsi"/>
                <w:sz w:val="22"/>
              </w:rPr>
            </w:pPr>
            <w:r w:rsidRPr="00105F66">
              <w:rPr>
                <w:rFonts w:asciiTheme="minorHAnsi" w:hAnsiTheme="minorHAnsi"/>
                <w:b/>
                <w:sz w:val="22"/>
              </w:rPr>
              <w:t>Rank:</w:t>
            </w:r>
            <w:r w:rsidR="00B34474" w:rsidRPr="00105F66">
              <w:rPr>
                <w:rFonts w:asciiTheme="minorHAnsi" w:hAnsiTheme="minorHAnsi"/>
                <w:b/>
                <w:sz w:val="22"/>
              </w:rPr>
              <w:t xml:space="preserve">    </w:t>
            </w:r>
            <w:r w:rsidR="00E12DA0" w:rsidRPr="00105F66">
              <w:rPr>
                <w:rFonts w:asciiTheme="minorHAnsi" w:hAnsiTheme="minorHAnsi"/>
                <w:b/>
                <w:sz w:val="22"/>
              </w:rPr>
              <w:t xml:space="preserve"> </w:t>
            </w:r>
          </w:p>
        </w:tc>
        <w:tc>
          <w:tcPr>
            <w:tcW w:w="5238" w:type="dxa"/>
          </w:tcPr>
          <w:p w:rsidR="005775B8" w:rsidRPr="00105F66" w:rsidRDefault="005775B8" w:rsidP="0023757A">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rFonts w:asciiTheme="minorHAnsi" w:hAnsiTheme="minorHAnsi"/>
                <w:b/>
                <w:sz w:val="22"/>
              </w:rPr>
            </w:pPr>
          </w:p>
          <w:p w:rsidR="00326D92" w:rsidRPr="00105F66" w:rsidRDefault="00AE0BB6" w:rsidP="0023757A">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rFonts w:asciiTheme="minorHAnsi" w:hAnsiTheme="minorHAnsi"/>
                <w:sz w:val="22"/>
              </w:rPr>
            </w:pPr>
            <w:r w:rsidRPr="00105F66">
              <w:rPr>
                <w:rFonts w:asciiTheme="minorHAnsi" w:hAnsiTheme="minorHAnsi"/>
                <w:b/>
                <w:sz w:val="22"/>
              </w:rPr>
              <w:t>Salary:</w:t>
            </w:r>
            <w:r w:rsidRPr="00105F66">
              <w:rPr>
                <w:rFonts w:asciiTheme="minorHAnsi" w:hAnsiTheme="minorHAnsi"/>
                <w:sz w:val="22"/>
              </w:rPr>
              <w:t xml:space="preserve"> </w:t>
            </w:r>
            <w:r w:rsidR="0023757A" w:rsidRPr="00105F66">
              <w:rPr>
                <w:rFonts w:asciiTheme="minorHAnsi" w:hAnsiTheme="minorHAnsi"/>
                <w:sz w:val="22"/>
                <w:szCs w:val="22"/>
              </w:rPr>
              <w:t>Dependent upon qualifications</w:t>
            </w:r>
          </w:p>
        </w:tc>
      </w:tr>
    </w:tbl>
    <w:p w:rsidR="000A2404" w:rsidRPr="007277D4" w:rsidRDefault="000A2404">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080"/>
      </w:tblGrid>
      <w:tr w:rsidR="00E12DA0" w:rsidRPr="007277D4" w:rsidTr="00E12DA0">
        <w:tc>
          <w:tcPr>
            <w:tcW w:w="10296" w:type="dxa"/>
          </w:tcPr>
          <w:p w:rsidR="003F58F6" w:rsidRPr="003F58F6" w:rsidRDefault="003F58F6" w:rsidP="00E12DA0">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rPr>
            </w:pPr>
          </w:p>
          <w:p w:rsidR="00C3601B" w:rsidRPr="00105F66" w:rsidRDefault="003F58F6" w:rsidP="005C3066">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 w:val="18"/>
                <w:szCs w:val="18"/>
              </w:rPr>
            </w:pPr>
            <w:r w:rsidRPr="00105F66">
              <w:rPr>
                <w:rFonts w:asciiTheme="minorHAnsi" w:hAnsiTheme="minorHAnsi"/>
                <w:sz w:val="18"/>
                <w:szCs w:val="18"/>
              </w:rPr>
              <w:t xml:space="preserve">About the </w:t>
            </w:r>
            <w:r w:rsidR="00E12DA0" w:rsidRPr="00105F66">
              <w:rPr>
                <w:rFonts w:asciiTheme="minorHAnsi" w:hAnsiTheme="minorHAnsi"/>
                <w:sz w:val="18"/>
                <w:szCs w:val="18"/>
              </w:rPr>
              <w:t>University:</w:t>
            </w:r>
          </w:p>
          <w:p w:rsidR="003F58F6" w:rsidRPr="00105F66" w:rsidRDefault="003F58F6" w:rsidP="005C3066">
            <w:pPr>
              <w:jc w:val="both"/>
              <w:rPr>
                <w:rFonts w:asciiTheme="minorHAnsi" w:hAnsiTheme="minorHAnsi"/>
                <w:color w:val="000000"/>
                <w:sz w:val="18"/>
                <w:szCs w:val="18"/>
              </w:rPr>
            </w:pPr>
            <w:r w:rsidRPr="00105F66">
              <w:rPr>
                <w:rFonts w:asciiTheme="minorHAnsi" w:hAnsiTheme="minorHAnsi"/>
                <w:color w:val="000000"/>
                <w:sz w:val="18"/>
                <w:szCs w:val="18"/>
              </w:rPr>
              <w:t xml:space="preserve">Serving more than 42,000 students each year, CSUN is one of the largest universities in the United States, and it has an impact to match its size. Money Magazine recently named CSUN one of the top ten values in all of higher education, and the Social Mobility Index ranked CSUN fifth in the nation for elevating its students’ economic and social well-being. CSUN ranks 10th in the country in awarding bachelor’s degrees to underrepresented minority students, fifth nationally in awarding master’s degrees to Hispanic students and enrolls the largest number of deaf and hard-of-hearing students of any U.S. state university. CSUN’s 171 academic programs and engaged centers enjoy international recognition for excellence. CSUN currently partners with more than 100 institutions of higher education in 22 countries around the globe and attracts the largest international student population of any U.S. master’s level institution. Situated on a 356-acre park-like setting in the heart of Los Angeles’ San Fernando Valley, the campus features modern educational buildings and world-class LEED Gold-certified performing arts and recreational facilities recognized as among the best in the country. </w:t>
            </w:r>
            <w:r w:rsidRPr="00105F66">
              <w:rPr>
                <w:rFonts w:asciiTheme="minorHAnsi" w:hAnsiTheme="minorHAnsi"/>
                <w:sz w:val="18"/>
                <w:szCs w:val="18"/>
              </w:rPr>
              <w:t xml:space="preserve">CSUN is designated as a Hispanic Serving Institution (HSI) and an Asian American, Native American, Pacific Islander Serving Institution (AANAPISI) and we value the diversity of all of our students and the campus community. </w:t>
            </w:r>
            <w:r w:rsidRPr="00105F66">
              <w:rPr>
                <w:rFonts w:asciiTheme="minorHAnsi" w:hAnsiTheme="minorHAnsi"/>
                <w:color w:val="000000"/>
                <w:sz w:val="18"/>
                <w:szCs w:val="18"/>
              </w:rPr>
              <w:t>CSUN is a welcoming university that champions accessibility, academic excellence and student success. </w:t>
            </w:r>
          </w:p>
          <w:p w:rsidR="003F58F6" w:rsidRPr="00105F66" w:rsidRDefault="003F58F6" w:rsidP="005C3066">
            <w:pPr>
              <w:jc w:val="both"/>
              <w:rPr>
                <w:rFonts w:asciiTheme="minorHAnsi" w:hAnsiTheme="minorHAnsi"/>
                <w:color w:val="000000"/>
                <w:sz w:val="18"/>
                <w:szCs w:val="18"/>
              </w:rPr>
            </w:pPr>
            <w:bookmarkStart w:id="0" w:name="_GoBack"/>
            <w:bookmarkEnd w:id="0"/>
          </w:p>
          <w:p w:rsidR="00C3601B" w:rsidRPr="00105F66" w:rsidRDefault="00C3601B" w:rsidP="005C3066">
            <w:pPr>
              <w:spacing w:line="276" w:lineRule="auto"/>
              <w:jc w:val="both"/>
              <w:rPr>
                <w:rFonts w:asciiTheme="minorHAnsi" w:hAnsiTheme="minorHAnsi"/>
                <w:color w:val="000000"/>
                <w:sz w:val="18"/>
                <w:szCs w:val="18"/>
              </w:rPr>
            </w:pPr>
            <w:r w:rsidRPr="00105F66">
              <w:rPr>
                <w:rFonts w:asciiTheme="minorHAnsi" w:hAnsiTheme="minorHAnsi"/>
                <w:color w:val="000000"/>
                <w:sz w:val="18"/>
                <w:szCs w:val="18"/>
              </w:rPr>
              <w:t>CSUN’s Commitment to You:</w:t>
            </w:r>
          </w:p>
          <w:p w:rsidR="00C3601B" w:rsidRPr="00105F66" w:rsidRDefault="00C3601B" w:rsidP="005C3066">
            <w:pPr>
              <w:spacing w:line="276" w:lineRule="auto"/>
              <w:jc w:val="both"/>
              <w:rPr>
                <w:rFonts w:asciiTheme="minorHAnsi" w:hAnsiTheme="minorHAnsi"/>
                <w:sz w:val="18"/>
                <w:szCs w:val="18"/>
              </w:rPr>
            </w:pPr>
            <w:r w:rsidRPr="00105F66">
              <w:rPr>
                <w:rFonts w:asciiTheme="minorHAnsi" w:hAnsiTheme="minorHAnsi"/>
                <w:sz w:val="18"/>
                <w:szCs w:val="18"/>
              </w:rPr>
              <w:t xml:space="preserve">CSUN is strongly committed to achieving excellence through teaching, scholarship, active learning and diversity.  Our values include a respect for all people, building alliances with the community and the encouragement of innovation, experimentation and creativity.  </w:t>
            </w:r>
          </w:p>
          <w:p w:rsidR="00C3601B" w:rsidRPr="00105F66" w:rsidRDefault="00C3601B" w:rsidP="005C3066">
            <w:pPr>
              <w:jc w:val="both"/>
              <w:rPr>
                <w:rFonts w:asciiTheme="minorHAnsi" w:hAnsiTheme="minorHAnsi"/>
                <w:sz w:val="18"/>
                <w:szCs w:val="18"/>
              </w:rPr>
            </w:pPr>
          </w:p>
          <w:p w:rsidR="003F58F6" w:rsidRPr="00105F66" w:rsidRDefault="003F58F6" w:rsidP="005C3066">
            <w:pPr>
              <w:jc w:val="both"/>
              <w:rPr>
                <w:rFonts w:asciiTheme="minorHAnsi" w:hAnsiTheme="minorHAnsi"/>
                <w:sz w:val="18"/>
                <w:szCs w:val="18"/>
              </w:rPr>
            </w:pPr>
            <w:r w:rsidRPr="00105F66">
              <w:rPr>
                <w:rFonts w:asciiTheme="minorHAnsi" w:hAnsiTheme="minorHAnsi"/>
                <w:sz w:val="18"/>
                <w:szCs w:val="18"/>
              </w:rPr>
              <w:t xml:space="preserve">As an Equal Opportunity/Affirmative Action employer, CSUN strives to create a community in which a diverse population can work, teach and learn in an atmosphere of civility and respect for the rights of each individual. We consider qualified applicants for employment without regard to race, color, religion, national origin, gender, gender identity/expression, sexual orientation, age, disability, genetic information, medical information, marital status, or veteran status. For more information about the University, check our website: </w:t>
            </w:r>
            <w:hyperlink r:id="rId8" w:history="1">
              <w:r w:rsidR="00C3601B" w:rsidRPr="00105F66">
                <w:rPr>
                  <w:rStyle w:val="Hyperlink"/>
                  <w:rFonts w:asciiTheme="minorHAnsi" w:hAnsiTheme="minorHAnsi"/>
                  <w:sz w:val="18"/>
                  <w:szCs w:val="18"/>
                </w:rPr>
                <w:t>http://www.csun.edu</w:t>
              </w:r>
            </w:hyperlink>
          </w:p>
          <w:p w:rsidR="003F58F6" w:rsidRPr="007277D4" w:rsidRDefault="003F58F6" w:rsidP="00E12DA0">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4A66E7" w:rsidRPr="007277D4" w:rsidRDefault="004A66E7" w:rsidP="00A30D78">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p>
        </w:tc>
      </w:tr>
    </w:tbl>
    <w:p w:rsidR="00B458E0" w:rsidRPr="00745644" w:rsidRDefault="00B458E0" w:rsidP="00B458E0">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rPr>
      </w:pPr>
    </w:p>
    <w:p w:rsidR="000A2404" w:rsidRPr="0084221C" w:rsidRDefault="000A2404">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sz w:val="20"/>
        </w:rPr>
      </w:pPr>
    </w:p>
    <w:p w:rsidR="000A2404" w:rsidRDefault="000A2404">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b/>
          <w:sz w:val="20"/>
        </w:rPr>
      </w:pPr>
      <w:r>
        <w:rPr>
          <w:b/>
          <w:sz w:val="22"/>
        </w:rPr>
        <w:t>Qualifications:</w:t>
      </w:r>
      <w:r w:rsidR="00FE3483">
        <w:rPr>
          <w:sz w:val="22"/>
        </w:rPr>
        <w:t xml:space="preserve"> </w:t>
      </w:r>
      <w:r w:rsidR="00B34474">
        <w:rPr>
          <w:sz w:val="22"/>
        </w:rPr>
        <w:t xml:space="preserve">  </w:t>
      </w:r>
    </w:p>
    <w:p w:rsidR="00F1348C" w:rsidRPr="00105F66" w:rsidRDefault="00F1348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rFonts w:asciiTheme="minorHAnsi" w:hAnsiTheme="minorHAnsi"/>
          <w:sz w:val="22"/>
        </w:rPr>
      </w:pPr>
    </w:p>
    <w:p w:rsidR="00B86EBE" w:rsidRPr="00105F66" w:rsidRDefault="00B86EBE">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rFonts w:asciiTheme="minorHAnsi" w:hAnsiTheme="minorHAnsi"/>
          <w:sz w:val="18"/>
          <w:szCs w:val="18"/>
        </w:rPr>
      </w:pPr>
    </w:p>
    <w:p w:rsidR="00A30D78" w:rsidRPr="00105F66" w:rsidRDefault="00A30D78">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rFonts w:asciiTheme="minorHAnsi" w:hAnsiTheme="minorHAnsi"/>
          <w:sz w:val="18"/>
          <w:szCs w:val="18"/>
        </w:rPr>
      </w:pPr>
    </w:p>
    <w:p w:rsidR="00F1348C" w:rsidRPr="00105F66" w:rsidRDefault="00A30D78" w:rsidP="005C3066">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rFonts w:asciiTheme="minorHAnsi" w:hAnsiTheme="minorHAnsi"/>
          <w:sz w:val="22"/>
        </w:rPr>
      </w:pPr>
      <w:r w:rsidRPr="00105F66">
        <w:rPr>
          <w:rFonts w:asciiTheme="minorHAnsi" w:hAnsiTheme="minorHAnsi"/>
          <w:sz w:val="18"/>
          <w:szCs w:val="18"/>
        </w:rPr>
        <w:t>At time of appointment, the successful candidate, if not a U.S. citizen, must have authorization from the Bureau of Citizenship and Immigration Services to work in the United States.</w:t>
      </w:r>
    </w:p>
    <w:p w:rsidR="00F1348C" w:rsidRPr="00105F66" w:rsidRDefault="00F1348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rFonts w:asciiTheme="minorHAnsi" w:hAnsiTheme="minorHAnsi"/>
          <w:sz w:val="22"/>
        </w:rPr>
      </w:pPr>
    </w:p>
    <w:p w:rsidR="00D36C34" w:rsidRPr="00105F66" w:rsidRDefault="000A2404" w:rsidP="00D36C34">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rFonts w:asciiTheme="minorHAnsi" w:hAnsiTheme="minorHAnsi"/>
          <w:sz w:val="20"/>
        </w:rPr>
      </w:pPr>
      <w:r w:rsidRPr="00105F66">
        <w:rPr>
          <w:rFonts w:asciiTheme="minorHAnsi" w:hAnsiTheme="minorHAnsi"/>
          <w:b/>
          <w:sz w:val="22"/>
        </w:rPr>
        <w:t>Responsibilities</w:t>
      </w:r>
      <w:r w:rsidR="00AE0BB6" w:rsidRPr="00105F66">
        <w:rPr>
          <w:rFonts w:asciiTheme="minorHAnsi" w:hAnsiTheme="minorHAnsi"/>
          <w:b/>
          <w:sz w:val="22"/>
        </w:rPr>
        <w:t>:</w:t>
      </w:r>
      <w:r w:rsidR="00FE3483" w:rsidRPr="00105F66">
        <w:rPr>
          <w:rFonts w:asciiTheme="minorHAnsi" w:hAnsiTheme="minorHAnsi"/>
          <w:b/>
          <w:sz w:val="22"/>
        </w:rPr>
        <w:t xml:space="preserve"> </w:t>
      </w:r>
      <w:r w:rsidR="00B34474" w:rsidRPr="00105F66">
        <w:rPr>
          <w:rFonts w:asciiTheme="minorHAnsi" w:hAnsiTheme="minorHAnsi"/>
          <w:b/>
          <w:sz w:val="22"/>
        </w:rPr>
        <w:t xml:space="preserve"> </w:t>
      </w:r>
    </w:p>
    <w:p w:rsidR="00F1348C" w:rsidRPr="00105F66" w:rsidRDefault="00F1348C" w:rsidP="00D36C34">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rFonts w:asciiTheme="minorHAnsi" w:hAnsiTheme="minorHAnsi"/>
          <w:sz w:val="20"/>
        </w:rPr>
      </w:pPr>
    </w:p>
    <w:p w:rsidR="00B86EBE" w:rsidRPr="00105F66" w:rsidRDefault="00B86EBE" w:rsidP="00D36C34">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rFonts w:asciiTheme="minorHAnsi" w:hAnsiTheme="minorHAnsi"/>
          <w:sz w:val="20"/>
        </w:rPr>
      </w:pPr>
    </w:p>
    <w:p w:rsidR="00B86EBE" w:rsidRPr="00105F66" w:rsidRDefault="00B86EBE" w:rsidP="00D36C34">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rFonts w:asciiTheme="minorHAnsi" w:hAnsiTheme="minorHAnsi"/>
          <w:sz w:val="20"/>
        </w:rPr>
      </w:pPr>
    </w:p>
    <w:p w:rsidR="001B7463" w:rsidRPr="00105F66" w:rsidRDefault="001B7463" w:rsidP="0023757A">
      <w:pPr>
        <w:pStyle w:val="BodyTextIndent"/>
        <w:ind w:left="0"/>
        <w:rPr>
          <w:rFonts w:asciiTheme="minorHAnsi" w:hAnsiTheme="minorHAnsi"/>
          <w:b/>
          <w:szCs w:val="20"/>
        </w:rPr>
      </w:pPr>
    </w:p>
    <w:p w:rsidR="001B7463" w:rsidRPr="00105F66" w:rsidRDefault="00AE0BB6">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rFonts w:asciiTheme="minorHAnsi" w:hAnsiTheme="minorHAnsi"/>
          <w:sz w:val="20"/>
        </w:rPr>
      </w:pPr>
      <w:r w:rsidRPr="00105F66">
        <w:rPr>
          <w:rFonts w:asciiTheme="minorHAnsi" w:hAnsiTheme="minorHAnsi"/>
          <w:b/>
          <w:sz w:val="22"/>
          <w:szCs w:val="22"/>
        </w:rPr>
        <w:t>Application Deadline:</w:t>
      </w:r>
      <w:r w:rsidRPr="00105F66">
        <w:rPr>
          <w:rFonts w:asciiTheme="minorHAnsi" w:hAnsiTheme="minorHAnsi"/>
          <w:b/>
          <w:sz w:val="20"/>
        </w:rPr>
        <w:t xml:space="preserve"> </w:t>
      </w:r>
    </w:p>
    <w:p w:rsidR="000A2404" w:rsidRPr="00105F66" w:rsidRDefault="00282047" w:rsidP="00105F66">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rFonts w:asciiTheme="minorHAnsi" w:hAnsiTheme="minorHAnsi"/>
          <w:sz w:val="18"/>
        </w:rPr>
      </w:pPr>
      <w:r w:rsidRPr="00105F66">
        <w:rPr>
          <w:rFonts w:asciiTheme="minorHAnsi" w:hAnsiTheme="minorHAnsi"/>
          <w:sz w:val="18"/>
        </w:rPr>
        <w:t>Screening of applications will begin</w:t>
      </w:r>
      <w:r w:rsidR="00B86EBE" w:rsidRPr="00105F66">
        <w:rPr>
          <w:rFonts w:asciiTheme="minorHAnsi" w:hAnsiTheme="minorHAnsi"/>
          <w:sz w:val="18"/>
        </w:rPr>
        <w:t xml:space="preserve"> _______.  </w:t>
      </w:r>
      <w:r w:rsidRPr="00105F66">
        <w:rPr>
          <w:rFonts w:asciiTheme="minorHAnsi" w:hAnsiTheme="minorHAnsi"/>
          <w:sz w:val="18"/>
        </w:rPr>
        <w:t>Priority will be given to applicants wh</w:t>
      </w:r>
      <w:r w:rsidR="005E220E" w:rsidRPr="00105F66">
        <w:rPr>
          <w:rFonts w:asciiTheme="minorHAnsi" w:hAnsiTheme="minorHAnsi"/>
          <w:sz w:val="18"/>
        </w:rPr>
        <w:t xml:space="preserve">o meet the screening deadline. </w:t>
      </w:r>
      <w:r w:rsidRPr="00105F66">
        <w:rPr>
          <w:rFonts w:asciiTheme="minorHAnsi" w:hAnsiTheme="minorHAnsi"/>
          <w:sz w:val="18"/>
        </w:rPr>
        <w:t>However, the position will remain open until filled.</w:t>
      </w:r>
      <w:r w:rsidRPr="00105F66">
        <w:rPr>
          <w:rFonts w:asciiTheme="minorHAnsi" w:hAnsiTheme="minorHAnsi"/>
          <w:b/>
          <w:sz w:val="18"/>
        </w:rPr>
        <w:t xml:space="preserve"> </w:t>
      </w:r>
      <w:r w:rsidRPr="00105F66">
        <w:rPr>
          <w:rFonts w:asciiTheme="minorHAnsi" w:hAnsiTheme="minorHAnsi"/>
          <w:sz w:val="18"/>
        </w:rPr>
        <w:t>Applicants should submit a letter of application, curriculum vitae, and three current letters of recomme</w:t>
      </w:r>
      <w:r w:rsidR="005E220E" w:rsidRPr="00105F66">
        <w:rPr>
          <w:rFonts w:asciiTheme="minorHAnsi" w:hAnsiTheme="minorHAnsi"/>
          <w:sz w:val="18"/>
        </w:rPr>
        <w:t xml:space="preserve">ndation to the address below.  </w:t>
      </w:r>
      <w:r w:rsidRPr="00105F66">
        <w:rPr>
          <w:rFonts w:asciiTheme="minorHAnsi" w:hAnsiTheme="minorHAnsi"/>
          <w:sz w:val="18"/>
        </w:rPr>
        <w:t xml:space="preserve">In later phases of the search process, applicants may be requested to provide verification of terminal degrees, licenses and certificates. </w:t>
      </w:r>
    </w:p>
    <w:p w:rsidR="000A2404" w:rsidRPr="00105F66" w:rsidRDefault="000A2404" w:rsidP="00105F66">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rFonts w:asciiTheme="minorHAnsi" w:hAnsiTheme="minorHAnsi"/>
          <w:sz w:val="20"/>
        </w:rPr>
      </w:pPr>
    </w:p>
    <w:p w:rsidR="00B86EBE" w:rsidRPr="00105F66" w:rsidRDefault="00B86EBE">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rFonts w:asciiTheme="minorHAnsi" w:hAnsiTheme="minorHAnsi"/>
          <w:b/>
          <w:sz w:val="22"/>
        </w:rPr>
      </w:pPr>
    </w:p>
    <w:p w:rsidR="00394D07" w:rsidRPr="00105F66" w:rsidRDefault="000A2404">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rFonts w:asciiTheme="minorHAnsi" w:hAnsiTheme="minorHAnsi"/>
          <w:sz w:val="22"/>
        </w:rPr>
      </w:pPr>
      <w:r w:rsidRPr="00105F66">
        <w:rPr>
          <w:rFonts w:asciiTheme="minorHAnsi" w:hAnsiTheme="minorHAnsi"/>
          <w:b/>
          <w:sz w:val="22"/>
        </w:rPr>
        <w:t xml:space="preserve">Inquiries and </w:t>
      </w:r>
      <w:r w:rsidR="00C573FC" w:rsidRPr="00105F66">
        <w:rPr>
          <w:rFonts w:asciiTheme="minorHAnsi" w:hAnsiTheme="minorHAnsi"/>
          <w:b/>
          <w:sz w:val="22"/>
        </w:rPr>
        <w:t>applications</w:t>
      </w:r>
      <w:r w:rsidRPr="00105F66">
        <w:rPr>
          <w:rFonts w:asciiTheme="minorHAnsi" w:hAnsiTheme="minorHAnsi"/>
          <w:b/>
          <w:sz w:val="22"/>
        </w:rPr>
        <w:t xml:space="preserve"> should </w:t>
      </w:r>
      <w:r w:rsidR="00AE0BB6" w:rsidRPr="00105F66">
        <w:rPr>
          <w:rFonts w:asciiTheme="minorHAnsi" w:hAnsiTheme="minorHAnsi"/>
          <w:b/>
          <w:sz w:val="22"/>
        </w:rPr>
        <w:t>be addressed to:</w:t>
      </w:r>
      <w:r w:rsidR="00394D07" w:rsidRPr="00105F66">
        <w:rPr>
          <w:rFonts w:asciiTheme="minorHAnsi" w:hAnsiTheme="minorHAnsi"/>
          <w:b/>
          <w:sz w:val="22"/>
        </w:rPr>
        <w:t xml:space="preserve"> </w:t>
      </w:r>
    </w:p>
    <w:p w:rsidR="005A488B" w:rsidRPr="00105F66" w:rsidRDefault="005A488B">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rFonts w:asciiTheme="minorHAnsi" w:hAnsiTheme="minorHAnsi"/>
          <w:sz w:val="22"/>
        </w:rPr>
      </w:pPr>
    </w:p>
    <w:p w:rsidR="00D36C34" w:rsidRPr="00105F66" w:rsidRDefault="00D36C34" w:rsidP="00D36C34">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rFonts w:asciiTheme="minorHAnsi" w:hAnsiTheme="minorHAnsi"/>
          <w:sz w:val="20"/>
        </w:rPr>
      </w:pPr>
    </w:p>
    <w:p w:rsidR="009A4D43" w:rsidRPr="00105F66" w:rsidRDefault="009A4D43" w:rsidP="00D36C34">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rFonts w:asciiTheme="minorHAnsi" w:hAnsiTheme="minorHAnsi"/>
          <w:sz w:val="20"/>
        </w:rPr>
      </w:pPr>
    </w:p>
    <w:p w:rsidR="00F1348C" w:rsidRPr="00105F66" w:rsidRDefault="00F1348C" w:rsidP="00D36C34">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rFonts w:asciiTheme="minorHAnsi" w:hAnsiTheme="minorHAns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eneral Information About CSU, Northridge"/>
      </w:tblPr>
      <w:tblGrid>
        <w:gridCol w:w="10080"/>
      </w:tblGrid>
      <w:tr w:rsidR="00326D92" w:rsidRPr="00105F66" w:rsidTr="00326D92">
        <w:tc>
          <w:tcPr>
            <w:tcW w:w="10296" w:type="dxa"/>
          </w:tcPr>
          <w:p w:rsidR="006108C3" w:rsidRPr="00105F66" w:rsidRDefault="00286AF2" w:rsidP="00105F66">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sz w:val="22"/>
                <w:szCs w:val="18"/>
              </w:rPr>
            </w:pPr>
            <w:r w:rsidRPr="00105F66">
              <w:rPr>
                <w:rFonts w:asciiTheme="minorHAnsi" w:hAnsiTheme="minorHAnsi"/>
                <w:b/>
                <w:sz w:val="22"/>
                <w:szCs w:val="18"/>
              </w:rPr>
              <w:t>General Information:</w:t>
            </w:r>
          </w:p>
          <w:p w:rsidR="00286AF2" w:rsidRPr="00105F66" w:rsidRDefault="00286AF2" w:rsidP="00105F66">
            <w:pPr>
              <w:jc w:val="both"/>
              <w:rPr>
                <w:rFonts w:asciiTheme="minorHAnsi" w:hAnsiTheme="minorHAnsi"/>
                <w:sz w:val="26"/>
                <w:szCs w:val="26"/>
              </w:rPr>
            </w:pPr>
            <w:r w:rsidRPr="00105F66">
              <w:rPr>
                <w:rFonts w:asciiTheme="minorHAnsi" w:hAnsiTheme="minorHAnsi"/>
                <w:iCs/>
                <w:sz w:val="18"/>
                <w:szCs w:val="18"/>
              </w:rPr>
              <w:lastRenderedPageBreak/>
              <w:t xml:space="preserve">In compliance with the </w:t>
            </w:r>
            <w:r w:rsidRPr="00105F66">
              <w:rPr>
                <w:rFonts w:asciiTheme="minorHAnsi" w:hAnsiTheme="minorHAnsi"/>
                <w:sz w:val="18"/>
                <w:szCs w:val="18"/>
              </w:rPr>
              <w:t>Annual Security Report &amp; Fire Safety Report</w:t>
            </w:r>
            <w:r w:rsidRPr="00105F66">
              <w:rPr>
                <w:rFonts w:asciiTheme="minorHAnsi" w:hAnsiTheme="minorHAnsi"/>
                <w:iCs/>
                <w:sz w:val="18"/>
                <w:szCs w:val="18"/>
              </w:rPr>
              <w:t xml:space="preserve"> of Campus Security Policy and Campus Crime Statistics Act, California State University, Northridge has made crime-reporting statistics available on-line at </w:t>
            </w:r>
            <w:hyperlink r:id="rId9" w:history="1">
              <w:r w:rsidR="00BA7A94" w:rsidRPr="00105F66">
                <w:rPr>
                  <w:rStyle w:val="Hyperlink"/>
                  <w:rFonts w:asciiTheme="minorHAnsi" w:hAnsiTheme="minorHAnsi"/>
                  <w:sz w:val="18"/>
                  <w:szCs w:val="18"/>
                </w:rPr>
                <w:t>http://www.csun.edu/sites/default/files/clery-report.pdf</w:t>
              </w:r>
            </w:hyperlink>
            <w:r w:rsidRPr="00105F66">
              <w:rPr>
                <w:rFonts w:asciiTheme="minorHAnsi" w:hAnsiTheme="minorHAnsi"/>
                <w:iCs/>
                <w:sz w:val="18"/>
                <w:szCs w:val="18"/>
              </w:rPr>
              <w:t xml:space="preserve">. Print copies are available in the library and by request from the </w:t>
            </w:r>
            <w:r w:rsidRPr="00105F66">
              <w:rPr>
                <w:rFonts w:asciiTheme="minorHAnsi" w:hAnsiTheme="minorHAnsi"/>
                <w:sz w:val="18"/>
                <w:szCs w:val="18"/>
              </w:rPr>
              <w:t xml:space="preserve">Department of Police Services </w:t>
            </w:r>
            <w:r w:rsidRPr="00105F66">
              <w:rPr>
                <w:rFonts w:asciiTheme="minorHAnsi" w:hAnsiTheme="minorHAnsi"/>
                <w:iCs/>
                <w:sz w:val="18"/>
                <w:szCs w:val="18"/>
              </w:rPr>
              <w:t>and the Office of Faculty Affairs.</w:t>
            </w:r>
          </w:p>
          <w:p w:rsidR="00286AF2" w:rsidRPr="00105F66" w:rsidRDefault="00286AF2" w:rsidP="00105F66">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iCs/>
                <w:sz w:val="18"/>
                <w:szCs w:val="18"/>
              </w:rPr>
            </w:pPr>
          </w:p>
          <w:p w:rsidR="00274821" w:rsidRPr="00105F66" w:rsidRDefault="00274821" w:rsidP="00105F66">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iCs/>
                <w:sz w:val="18"/>
                <w:szCs w:val="18"/>
              </w:rPr>
            </w:pPr>
            <w:r w:rsidRPr="00105F66">
              <w:rPr>
                <w:rFonts w:asciiTheme="minorHAnsi" w:hAnsiTheme="minorHAnsi"/>
                <w:iCs/>
                <w:sz w:val="18"/>
                <w:szCs w:val="18"/>
              </w:rPr>
              <w:t>The person holding this position is considered a 'mandated reporter' under the California Child Abuse and Neglect Reporting Act and is required to comply with the requirements set forth in CSU Executive Order 1083 as a condition of employment.</w:t>
            </w:r>
          </w:p>
          <w:p w:rsidR="00B86EBE" w:rsidRPr="00105F66" w:rsidRDefault="00B86EBE" w:rsidP="00105F66">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iCs/>
                <w:sz w:val="18"/>
                <w:szCs w:val="18"/>
              </w:rPr>
            </w:pPr>
          </w:p>
          <w:p w:rsidR="00B86EBE" w:rsidRPr="00105F66" w:rsidRDefault="00B86EBE" w:rsidP="00105F66">
            <w:pPr>
              <w:jc w:val="both"/>
              <w:rPr>
                <w:rFonts w:asciiTheme="minorHAnsi" w:hAnsiTheme="minorHAnsi"/>
                <w:sz w:val="18"/>
                <w:szCs w:val="18"/>
              </w:rPr>
            </w:pPr>
            <w:r w:rsidRPr="00105F66">
              <w:rPr>
                <w:rFonts w:asciiTheme="minorHAnsi" w:hAnsiTheme="minorHAnsi"/>
                <w:sz w:val="18"/>
                <w:szCs w:val="18"/>
              </w:rPr>
              <w:t>A background check (including a criminal records check)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rsidR="00B86EBE" w:rsidRPr="00105F66" w:rsidRDefault="00B86EBE" w:rsidP="00105F66">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iCs/>
                <w:sz w:val="18"/>
                <w:szCs w:val="18"/>
              </w:rPr>
            </w:pPr>
          </w:p>
          <w:p w:rsidR="00274821" w:rsidRPr="00105F66" w:rsidRDefault="00274821" w:rsidP="00105F66">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iCs/>
                <w:sz w:val="18"/>
                <w:szCs w:val="18"/>
              </w:rPr>
            </w:pPr>
          </w:p>
          <w:p w:rsidR="006108C3" w:rsidRPr="00105F66" w:rsidRDefault="00286AF2" w:rsidP="00105F66">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Cs/>
                <w:color w:val="FF0000"/>
                <w:sz w:val="18"/>
                <w:szCs w:val="18"/>
              </w:rPr>
            </w:pPr>
            <w:r w:rsidRPr="00105F66">
              <w:rPr>
                <w:rFonts w:asciiTheme="minorHAnsi" w:hAnsiTheme="minorHAnsi"/>
                <w:iCs/>
                <w:sz w:val="18"/>
                <w:szCs w:val="18"/>
              </w:rPr>
              <w:t>Applicants who wish to request accommodations for a disability may contact the Office of Equity and Diversity, (818) 677-2077.</w:t>
            </w:r>
          </w:p>
        </w:tc>
      </w:tr>
    </w:tbl>
    <w:p w:rsidR="00285114" w:rsidRDefault="00285114" w:rsidP="00105F66">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sectPr w:rsidR="00285114" w:rsidSect="00B86EBE">
      <w:headerReference w:type="even" r:id="rId10"/>
      <w:headerReference w:type="default" r:id="rId11"/>
      <w:footerReference w:type="even" r:id="rId12"/>
      <w:footerReference w:type="default" r:id="rId13"/>
      <w:footnotePr>
        <w:numFmt w:val="lowerLetter"/>
      </w:footnotePr>
      <w:endnotePr>
        <w:numFmt w:val="lowerLetter"/>
      </w:endnotePr>
      <w:pgSz w:w="12240" w:h="15840"/>
      <w:pgMar w:top="806" w:right="1080" w:bottom="288"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CCB" w:rsidRDefault="00851CCB">
      <w:r>
        <w:separator/>
      </w:r>
    </w:p>
  </w:endnote>
  <w:endnote w:type="continuationSeparator" w:id="0">
    <w:p w:rsidR="00851CCB" w:rsidRDefault="0085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5DE" w:rsidRDefault="00A345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AF2" w:rsidRPr="00745644" w:rsidRDefault="00286AF2" w:rsidP="00286AF2">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4"/>
        <w:szCs w:val="14"/>
      </w:rPr>
    </w:pPr>
    <w:r w:rsidRPr="00745644">
      <w:rPr>
        <w:b/>
        <w:sz w:val="14"/>
        <w:szCs w:val="14"/>
      </w:rPr>
      <w:t>AA-1</w:t>
    </w:r>
  </w:p>
  <w:p w:rsidR="00286AF2" w:rsidRPr="00745644" w:rsidRDefault="00AA3DA5" w:rsidP="00286AF2">
    <w:pPr>
      <w:tabs>
        <w:tab w:val="right" w:pos="9360"/>
      </w:tabs>
      <w:jc w:val="both"/>
      <w:rPr>
        <w:sz w:val="14"/>
        <w:szCs w:val="14"/>
      </w:rPr>
    </w:pPr>
    <w:r>
      <w:rPr>
        <w:b/>
        <w:sz w:val="14"/>
        <w:szCs w:val="14"/>
      </w:rPr>
      <w:t>Rev. 10/15</w:t>
    </w:r>
    <w:r w:rsidR="00286AF2" w:rsidRPr="00745644">
      <w:rPr>
        <w:sz w:val="14"/>
        <w:szCs w:val="14"/>
      </w:rPr>
      <w:tab/>
    </w:r>
  </w:p>
  <w:p w:rsidR="00A345DE" w:rsidRDefault="00A345DE" w:rsidP="00286A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CCB" w:rsidRDefault="00851CCB">
      <w:r>
        <w:separator/>
      </w:r>
    </w:p>
  </w:footnote>
  <w:footnote w:type="continuationSeparator" w:id="0">
    <w:p w:rsidR="00851CCB" w:rsidRDefault="00851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5DE" w:rsidRDefault="00A345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5DE" w:rsidRDefault="00A345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404"/>
    <w:rsid w:val="000274D1"/>
    <w:rsid w:val="00036B86"/>
    <w:rsid w:val="000410C4"/>
    <w:rsid w:val="00045FF2"/>
    <w:rsid w:val="0007680F"/>
    <w:rsid w:val="000903C2"/>
    <w:rsid w:val="00090555"/>
    <w:rsid w:val="0009128B"/>
    <w:rsid w:val="000A2404"/>
    <w:rsid w:val="000B1D78"/>
    <w:rsid w:val="000D22F0"/>
    <w:rsid w:val="000F4A19"/>
    <w:rsid w:val="000F4BBC"/>
    <w:rsid w:val="000F5813"/>
    <w:rsid w:val="000F7B55"/>
    <w:rsid w:val="00105F66"/>
    <w:rsid w:val="00106DF5"/>
    <w:rsid w:val="00112847"/>
    <w:rsid w:val="001316CD"/>
    <w:rsid w:val="001379F0"/>
    <w:rsid w:val="001522CC"/>
    <w:rsid w:val="00171C41"/>
    <w:rsid w:val="001B486D"/>
    <w:rsid w:val="001B7463"/>
    <w:rsid w:val="001C746C"/>
    <w:rsid w:val="001D2DC1"/>
    <w:rsid w:val="001E10C2"/>
    <w:rsid w:val="00210C9A"/>
    <w:rsid w:val="002115C4"/>
    <w:rsid w:val="00221778"/>
    <w:rsid w:val="00226DDE"/>
    <w:rsid w:val="0023757A"/>
    <w:rsid w:val="00274821"/>
    <w:rsid w:val="002800D9"/>
    <w:rsid w:val="00282047"/>
    <w:rsid w:val="00285114"/>
    <w:rsid w:val="00286AF2"/>
    <w:rsid w:val="002C1D59"/>
    <w:rsid w:val="002D7C00"/>
    <w:rsid w:val="002E6254"/>
    <w:rsid w:val="002F5F64"/>
    <w:rsid w:val="003264AD"/>
    <w:rsid w:val="00326D92"/>
    <w:rsid w:val="003542AE"/>
    <w:rsid w:val="003561A2"/>
    <w:rsid w:val="003664DD"/>
    <w:rsid w:val="00394D07"/>
    <w:rsid w:val="003A6D61"/>
    <w:rsid w:val="003C78DB"/>
    <w:rsid w:val="003C78E8"/>
    <w:rsid w:val="003D23D3"/>
    <w:rsid w:val="003D51FA"/>
    <w:rsid w:val="003F58F6"/>
    <w:rsid w:val="003F6F01"/>
    <w:rsid w:val="00431C32"/>
    <w:rsid w:val="00456121"/>
    <w:rsid w:val="00457B7F"/>
    <w:rsid w:val="00463BCF"/>
    <w:rsid w:val="00463C97"/>
    <w:rsid w:val="0046540D"/>
    <w:rsid w:val="00470003"/>
    <w:rsid w:val="004823EC"/>
    <w:rsid w:val="00493010"/>
    <w:rsid w:val="00495243"/>
    <w:rsid w:val="00496286"/>
    <w:rsid w:val="004A66E7"/>
    <w:rsid w:val="004B0FC3"/>
    <w:rsid w:val="004C7F06"/>
    <w:rsid w:val="004D1CDB"/>
    <w:rsid w:val="004D3AFC"/>
    <w:rsid w:val="004F261A"/>
    <w:rsid w:val="005525E4"/>
    <w:rsid w:val="005775B8"/>
    <w:rsid w:val="005832BB"/>
    <w:rsid w:val="005933A6"/>
    <w:rsid w:val="005A488B"/>
    <w:rsid w:val="005B02CD"/>
    <w:rsid w:val="005B6357"/>
    <w:rsid w:val="005C3066"/>
    <w:rsid w:val="005D39BA"/>
    <w:rsid w:val="005E220E"/>
    <w:rsid w:val="005E2BA4"/>
    <w:rsid w:val="005F3ED0"/>
    <w:rsid w:val="005F54F0"/>
    <w:rsid w:val="006108C3"/>
    <w:rsid w:val="00610911"/>
    <w:rsid w:val="00611E32"/>
    <w:rsid w:val="00613C69"/>
    <w:rsid w:val="006176FD"/>
    <w:rsid w:val="00624110"/>
    <w:rsid w:val="006416E9"/>
    <w:rsid w:val="00661657"/>
    <w:rsid w:val="00670105"/>
    <w:rsid w:val="00687807"/>
    <w:rsid w:val="0069096C"/>
    <w:rsid w:val="006A22CE"/>
    <w:rsid w:val="006C57F8"/>
    <w:rsid w:val="006E5207"/>
    <w:rsid w:val="00721051"/>
    <w:rsid w:val="00721689"/>
    <w:rsid w:val="00722835"/>
    <w:rsid w:val="007277D4"/>
    <w:rsid w:val="00731D9D"/>
    <w:rsid w:val="007342C7"/>
    <w:rsid w:val="00745644"/>
    <w:rsid w:val="0076482D"/>
    <w:rsid w:val="00781EB3"/>
    <w:rsid w:val="007B53E8"/>
    <w:rsid w:val="007C1DC9"/>
    <w:rsid w:val="008054B8"/>
    <w:rsid w:val="008219C7"/>
    <w:rsid w:val="00822C44"/>
    <w:rsid w:val="0084221C"/>
    <w:rsid w:val="00851CCB"/>
    <w:rsid w:val="00866BB6"/>
    <w:rsid w:val="00890BD3"/>
    <w:rsid w:val="00891EDB"/>
    <w:rsid w:val="00894637"/>
    <w:rsid w:val="00897351"/>
    <w:rsid w:val="008C357B"/>
    <w:rsid w:val="008C791D"/>
    <w:rsid w:val="008D3D86"/>
    <w:rsid w:val="00903CB5"/>
    <w:rsid w:val="00910CC8"/>
    <w:rsid w:val="009341C8"/>
    <w:rsid w:val="0094071A"/>
    <w:rsid w:val="00960EFD"/>
    <w:rsid w:val="009718D7"/>
    <w:rsid w:val="009A27ED"/>
    <w:rsid w:val="009A4179"/>
    <w:rsid w:val="009A4D43"/>
    <w:rsid w:val="009B5ED6"/>
    <w:rsid w:val="009C17E3"/>
    <w:rsid w:val="009D06E6"/>
    <w:rsid w:val="00A21FBF"/>
    <w:rsid w:val="00A24C4D"/>
    <w:rsid w:val="00A30D78"/>
    <w:rsid w:val="00A345DE"/>
    <w:rsid w:val="00A5667B"/>
    <w:rsid w:val="00A60593"/>
    <w:rsid w:val="00A75396"/>
    <w:rsid w:val="00A80CE2"/>
    <w:rsid w:val="00AA3DA5"/>
    <w:rsid w:val="00AB7177"/>
    <w:rsid w:val="00AC56AE"/>
    <w:rsid w:val="00AE0BB6"/>
    <w:rsid w:val="00AE1BC6"/>
    <w:rsid w:val="00AF40BD"/>
    <w:rsid w:val="00AF781D"/>
    <w:rsid w:val="00B24328"/>
    <w:rsid w:val="00B266BB"/>
    <w:rsid w:val="00B34474"/>
    <w:rsid w:val="00B3495D"/>
    <w:rsid w:val="00B41A5D"/>
    <w:rsid w:val="00B43CAA"/>
    <w:rsid w:val="00B44DDE"/>
    <w:rsid w:val="00B458E0"/>
    <w:rsid w:val="00B510B3"/>
    <w:rsid w:val="00B62C1A"/>
    <w:rsid w:val="00B86EBE"/>
    <w:rsid w:val="00BA7A94"/>
    <w:rsid w:val="00BD674C"/>
    <w:rsid w:val="00BE1FB8"/>
    <w:rsid w:val="00C3601B"/>
    <w:rsid w:val="00C36E11"/>
    <w:rsid w:val="00C50872"/>
    <w:rsid w:val="00C573FC"/>
    <w:rsid w:val="00C64B40"/>
    <w:rsid w:val="00C83074"/>
    <w:rsid w:val="00CA3D26"/>
    <w:rsid w:val="00CB678E"/>
    <w:rsid w:val="00CC29E8"/>
    <w:rsid w:val="00CD4DBF"/>
    <w:rsid w:val="00D00333"/>
    <w:rsid w:val="00D03D6F"/>
    <w:rsid w:val="00D36C34"/>
    <w:rsid w:val="00D754AE"/>
    <w:rsid w:val="00D84406"/>
    <w:rsid w:val="00D9575F"/>
    <w:rsid w:val="00DE7C46"/>
    <w:rsid w:val="00E00827"/>
    <w:rsid w:val="00E12DA0"/>
    <w:rsid w:val="00E45E35"/>
    <w:rsid w:val="00E87A76"/>
    <w:rsid w:val="00EA76FA"/>
    <w:rsid w:val="00EB587B"/>
    <w:rsid w:val="00EB76BA"/>
    <w:rsid w:val="00EC3F6E"/>
    <w:rsid w:val="00F007F1"/>
    <w:rsid w:val="00F1348C"/>
    <w:rsid w:val="00F2527E"/>
    <w:rsid w:val="00F33528"/>
    <w:rsid w:val="00F42D69"/>
    <w:rsid w:val="00F64CAB"/>
    <w:rsid w:val="00F71CD3"/>
    <w:rsid w:val="00F82FB8"/>
    <w:rsid w:val="00F83705"/>
    <w:rsid w:val="00FA715B"/>
    <w:rsid w:val="00FB087E"/>
    <w:rsid w:val="00FC299D"/>
    <w:rsid w:val="00FE0F8B"/>
    <w:rsid w:val="00FE3483"/>
    <w:rsid w:val="00FF1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2A607C4-204A-4462-BDD1-ABC0362D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121"/>
    <w:rPr>
      <w:sz w:val="24"/>
    </w:rPr>
  </w:style>
  <w:style w:type="paragraph" w:styleId="Heading1">
    <w:name w:val="heading 1"/>
    <w:basedOn w:val="Normal"/>
    <w:next w:val="Normal"/>
    <w:qFormat/>
    <w:rsid w:val="00456121"/>
    <w:pPr>
      <w:keepNext/>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56121"/>
    <w:rPr>
      <w:color w:val="0000FF"/>
      <w:u w:val="single"/>
    </w:rPr>
  </w:style>
  <w:style w:type="character" w:customStyle="1" w:styleId="Memo">
    <w:name w:val="Memo"/>
    <w:rsid w:val="00456121"/>
    <w:rPr>
      <w:rFonts w:ascii="Times New Roman" w:hAnsi="Times New Roman"/>
      <w:sz w:val="36"/>
    </w:rPr>
  </w:style>
  <w:style w:type="character" w:customStyle="1" w:styleId="ToFrom">
    <w:name w:val="ToFrom"/>
    <w:rsid w:val="00456121"/>
    <w:rPr>
      <w:b/>
      <w:sz w:val="18"/>
    </w:rPr>
  </w:style>
  <w:style w:type="character" w:styleId="FollowedHyperlink">
    <w:name w:val="FollowedHyperlink"/>
    <w:basedOn w:val="DefaultParagraphFont"/>
    <w:rsid w:val="00745644"/>
    <w:rPr>
      <w:color w:val="800080" w:themeColor="followedHyperlink"/>
      <w:u w:val="single"/>
    </w:rPr>
  </w:style>
  <w:style w:type="table" w:styleId="TableGrid">
    <w:name w:val="Table Grid"/>
    <w:basedOn w:val="TableNormal"/>
    <w:rsid w:val="0032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86AF2"/>
    <w:pPr>
      <w:tabs>
        <w:tab w:val="center" w:pos="4680"/>
        <w:tab w:val="right" w:pos="9360"/>
      </w:tabs>
    </w:pPr>
  </w:style>
  <w:style w:type="character" w:customStyle="1" w:styleId="HeaderChar">
    <w:name w:val="Header Char"/>
    <w:basedOn w:val="DefaultParagraphFont"/>
    <w:link w:val="Header"/>
    <w:rsid w:val="00286AF2"/>
    <w:rPr>
      <w:sz w:val="24"/>
    </w:rPr>
  </w:style>
  <w:style w:type="paragraph" w:styleId="Footer">
    <w:name w:val="footer"/>
    <w:basedOn w:val="Normal"/>
    <w:link w:val="FooterChar"/>
    <w:uiPriority w:val="99"/>
    <w:rsid w:val="00286AF2"/>
    <w:pPr>
      <w:tabs>
        <w:tab w:val="center" w:pos="4680"/>
        <w:tab w:val="right" w:pos="9360"/>
      </w:tabs>
    </w:pPr>
  </w:style>
  <w:style w:type="character" w:customStyle="1" w:styleId="FooterChar">
    <w:name w:val="Footer Char"/>
    <w:basedOn w:val="DefaultParagraphFont"/>
    <w:link w:val="Footer"/>
    <w:uiPriority w:val="99"/>
    <w:rsid w:val="00286AF2"/>
    <w:rPr>
      <w:sz w:val="24"/>
    </w:rPr>
  </w:style>
  <w:style w:type="paragraph" w:styleId="BodyTextIndent">
    <w:name w:val="Body Text Indent"/>
    <w:basedOn w:val="Normal"/>
    <w:link w:val="BodyTextIndentChar"/>
    <w:rsid w:val="0023757A"/>
    <w:pPr>
      <w:ind w:left="720"/>
    </w:pPr>
    <w:rPr>
      <w:rFonts w:ascii="Lucida Bright" w:hAnsi="Lucida Bright"/>
      <w:sz w:val="20"/>
      <w:szCs w:val="24"/>
    </w:rPr>
  </w:style>
  <w:style w:type="character" w:customStyle="1" w:styleId="BodyTextIndentChar">
    <w:name w:val="Body Text Indent Char"/>
    <w:basedOn w:val="DefaultParagraphFont"/>
    <w:link w:val="BodyTextIndent"/>
    <w:rsid w:val="0023757A"/>
    <w:rPr>
      <w:rFonts w:ascii="Lucida Bright" w:hAnsi="Lucida Bright"/>
      <w:szCs w:val="24"/>
    </w:rPr>
  </w:style>
  <w:style w:type="paragraph" w:styleId="BalloonText">
    <w:name w:val="Balloon Text"/>
    <w:basedOn w:val="Normal"/>
    <w:link w:val="BalloonTextChar"/>
    <w:rsid w:val="00D84406"/>
    <w:rPr>
      <w:rFonts w:ascii="Tahoma" w:hAnsi="Tahoma" w:cs="Tahoma"/>
      <w:sz w:val="16"/>
      <w:szCs w:val="16"/>
    </w:rPr>
  </w:style>
  <w:style w:type="character" w:customStyle="1" w:styleId="BalloonTextChar">
    <w:name w:val="Balloon Text Char"/>
    <w:basedOn w:val="DefaultParagraphFont"/>
    <w:link w:val="BalloonText"/>
    <w:rsid w:val="00D844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940490">
      <w:bodyDiv w:val="1"/>
      <w:marLeft w:val="0"/>
      <w:marRight w:val="0"/>
      <w:marTop w:val="0"/>
      <w:marBottom w:val="0"/>
      <w:divBdr>
        <w:top w:val="none" w:sz="0" w:space="0" w:color="auto"/>
        <w:left w:val="none" w:sz="0" w:space="0" w:color="auto"/>
        <w:bottom w:val="none" w:sz="0" w:space="0" w:color="auto"/>
        <w:right w:val="none" w:sz="0" w:space="0" w:color="auto"/>
      </w:divBdr>
    </w:div>
    <w:div w:id="156834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n.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sun.edu/sites/default/files/clery-repor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5721C-FD97-4272-B13B-7385F1737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Faculty Affairs/CSUN</Company>
  <LinksUpToDate>false</LinksUpToDate>
  <CharactersWithSpaces>4569</CharactersWithSpaces>
  <SharedDoc>false</SharedDoc>
  <HLinks>
    <vt:vector size="12" baseType="variant">
      <vt:variant>
        <vt:i4>5308434</vt:i4>
      </vt:variant>
      <vt:variant>
        <vt:i4>5</vt:i4>
      </vt:variant>
      <vt:variant>
        <vt:i4>0</vt:i4>
      </vt:variant>
      <vt:variant>
        <vt:i4>5</vt:i4>
      </vt:variant>
      <vt:variant>
        <vt:lpwstr>http://www-admn.csun.edu/police/clery-report-2009.pdf</vt:lpwstr>
      </vt:variant>
      <vt:variant>
        <vt:lpwstr/>
      </vt:variant>
      <vt:variant>
        <vt:i4>5767261</vt:i4>
      </vt:variant>
      <vt:variant>
        <vt:i4>2</vt:i4>
      </vt:variant>
      <vt:variant>
        <vt:i4>0</vt:i4>
      </vt:variant>
      <vt:variant>
        <vt:i4>5</vt:i4>
      </vt:variant>
      <vt:variant>
        <vt:lpwstr>http://www.csun.edu/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DMorgan</dc:creator>
  <cp:lastModifiedBy>Carrillo, Sharon</cp:lastModifiedBy>
  <cp:revision>2</cp:revision>
  <cp:lastPrinted>2015-09-11T17:29:00Z</cp:lastPrinted>
  <dcterms:created xsi:type="dcterms:W3CDTF">2016-08-12T18:25:00Z</dcterms:created>
  <dcterms:modified xsi:type="dcterms:W3CDTF">2016-08-12T18:25:00Z</dcterms:modified>
</cp:coreProperties>
</file>